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1099 vom 31. Januar 2025</w:t>
      </w:r>
    </w:p>
    <w:p>
      <w:r>
        <w:t>VD Tribunal cantonal, 2025-01-31, FR</w:t>
      </w:r>
    </w:p>
    <w:p>
      <w:r>
        <w:rPr>
          <w:b/>
        </w:rPr>
        <w:t xml:space="preserve">Quelle: </w:t>
      </w:r>
      <w:r>
        <w:t>https://mcp.opencaselaw.ch/entscheid/vd_findinfo_Arr_t___2024___1099</w:t>
      </w:r>
    </w:p>
    <w:p>
      <w:r>
        <w:t>FR: VD_FINDINFO Arrêt / 2024 / 1099 du 31 janvier 2025</w:t>
      </w:r>
    </w:p>
    <w:p>
      <w:r>
        <w:t>IT: VD_FINDINFO Arrêt / 2024 / 1099 del 31 gennaio 2025</w:t>
      </w:r>
    </w:p>
    <w:p>
      <w:pPr>
        <w:pStyle w:val="Heading2"/>
      </w:pPr>
      <w:r>
        <w:t>Regeste</w:t>
      </w:r>
    </w:p>
    <w:p>
      <w:r>
        <w:t>REVENU D'INVALIDE, REVENU SANS INVALIDITÉ, REJET DE LA DEMANDE, INDEMNITÉ POUR ATTEINTE À L'INTÉGRITÉ | 18 LAA, 24 al. 1 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de l’assurance-accident ainsi qu’à une indemnité pour atteinte à l’intégrité (IPAI).</w:t>
      </w:r>
    </w:p>
    <w:p>
      <w:r>
        <w:rPr>
          <w:b/>
        </w:rPr>
        <w:t>E. 3</w:t>
      </w:r>
    </w:p>
    <w:p>
      <w:r>
        <w:t>Dans un grief de nature formelle, le recourant se plaint d’une violation de son droit d’être entendu, en lien avec le refus de suspension de la procédure requise devant l’intimée. a) Le droit d’être entendu garanti par l’art. 29 al. 2 Cst. comprend également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 En réalité, en tant que le recourant reproche à l’intimée une violation de son droit d’être entendu en lien avec le refus de suspension de la procédure afin d’établir le caractère durable de ses relations contractuelles avec son employeur à compter du 1 er février 2022, ce grief formel se confond avec les griefs de fond en tant qu’il critique l’appréciation des preuves opérée par l’intimée et se plaint d’un défaut d’instruction. Ces arguments seront donc examinés avec le fond du litige. On ne perçoit au demeurant pas de violation du droit d’être entendu.</w:t>
      </w:r>
    </w:p>
    <w:p>
      <w:r>
        <w:rPr>
          <w:b/>
        </w:rPr>
        <w:t>E. 4</w:t>
      </w:r>
    </w:p>
    <w:p>
      <w:r>
        <w:t>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f)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g)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a) En l’occurrence, le recourant ne conteste pas l’appréciation médicale de sa situation faite par l’intimée, à savoir qu’il dispose d’une pleine capacité de travail dans une activité adaptée à ses limitations fonctionnelles (pas de marche prolongée sur des terrains irréguliers et pas de position à genoux et/ou accroupie), alors que dans son activité habituelle sa capacité de travail est nulle. Le recourant a en effet repris une activité professionnelle à 100 %, ce qui correspond à la capacité attestée par la Dre P.________ (cf. rapport du 6 décembre 2021). Pour rappel, cette praticienne a posé les diagnostics de métatarsalgies du pied gauche (dans les suites d’une fracture ouverte Gustilo III le 11 avril 2019 ayant nécessité un débridement, un lavage de plaie, un enclouage par clou T2 du tibia gauche avec triple verrouillage distal, une révision de la plaie de la jambe gauche et un prélèvement profond avec fermeture secondaire le 16 avril 2019, une ablation du clou le 11 février 2021 avec neurolyse du nerf péronier superficiel et retard de cicatrisation de la malléole interne), ainsi que de diminution des amplitudes motrices au niveau du nerf tibial gauche au bilan neurologique du 28 mai 2021. b) Le recourant critique en revanche le calcul du degré d’invalidité effectué par l’intimée pour lui refuser une rente d’invalidité. aa) Pour ce qui est, tout d’abord, du revenu sans invalidité, l’intimée a retenu un gain de 63’421 francs. Elle s’est fondée sur le dernier salaire horaire réalisé par l’assuré, soit 27 fr. 45 en 2019, qu’elle a indexé jusqu’en 2022 (respectivement 0.8 %, 0.1 % et 0.1 %), pour arriver à 27 fr. 72. Elle a ensuite tenu compte du total des heures annuelles (2'112) et d’un treizième salaire (8.33 %). Le recourant conteste ce calcul. Il plaide, pour sa part, que le revenu sans invalidité doit s’élever à 71’749 fr. 67. Selon lui, au regard de l’art. 34 al. 1 de la CCT (sic), une part de 10.6 % pour les vacances est à ajouter au salaire de base, pour les travailleurs rémunérés à l’heure, comme c’était son cas, en plus du treizième salaire et de l’indemnité pour les jours fériés (art. 38 al. 2 CCT [sic]). Le raisonnement du recourant ne peut toutefois être suivi. Le contrat de travail du recourant prévoit un renvoi à la Convention nationale du secteur principal de la construction en Suisse (CN) s’agissant de l’horaire de travail, qui fixe le nombre total des heures annuelles de travail déterminant à 2’112 heures par année. Ce nombre d’heures n’est pas contesté par le recourant. Tel que l’a expliqué l’intimée et comme cela ressort de la jurisprudence (cf. TF 8C_401/2018 du 16 mai 2019 consid. 4.4), ce chiffre est arrêté en tenant compte des vacances et des jours fériés, de sorte qu’il n’y a pas lieu de les ajouter au salaire horaire de base, sous peine de les prendre en compte deux fois. En revanche, comme l’a fait l’intimée, la part au treizième salaire doit être additionnée au salaire horaire de base, conformément au contrat de travail du recourant et à la convention (art. 50). Ainsi, en multipliant le salaire horaire de 27 fr. 72 par 2’112 heures, on obtient un montant de 58’544 fr. 64. Ce chiffre doit encore être augmenté de 8,3 % en lien avec la part au treizième salaire, ce taux étant prévu tant par le contrat de travail du recourant que la convention (art. 50). Le montant de 8,33 % retenu par l’intimée à ce titre, pour aboutir à un revenu sans invalidité de 63’421 fr., est ainsi erroné. En définitive, le revenu annuel sans invalidité s’élève à 63’403 fr. 85 ([27 fr. 72 x 2’112 heures] x 8,3 %). Quoi qu’il en soit, même si on retenait le salaire sans invalidité de 71’749 fr. 67 allégué par le recourant, celui-ci n’aurait pas droit à une rente d’invalidité compte tenu de qui suit. bb) S’agissant du revenu d’invalide, le recourant s’étonne qu’il n’ait pas été tenu compte de sa relation de travail depuis le 1 er février 2022 avec E.________ en liquidation et du revenu annuel qu’il perçoit de 46’852 fr. 80, l’intimée s’étant fondée sur l’ESS pour calculer ce revenu.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être prises en compte (cf. ATF 129 V 222 consid. 4.3.1 ; TF 8C_216/2016 du 30 septembre 2016 consid. 5.2). Si, au prononcé de la décision sur opposition du 29 avril 2022, le recourant avait retrouvé du travail comme aide-sanitaire, il faut encore que l’on soit en présence de rapports de travail particulièrement stables pour que le salaire perçu dans ce cadre soit retenu au titre de revenu avec invalidité. Or, la condition afférente à la stabilité des rapports de travail posée par la jurisprudence n’était pas remplie au moment de la décision litigieuse. Le Tribunal fédéral a en effet jugé qu’une durée de trois mois, comme en l’espèce, était insuffisante pour considérer un rapport de travail comme stable (comp. TFA U 196/02 du 23 janvier 2003 consid. 4.3 et 4.4 ; TF 9C_140/2018 du 30 mai 2018 consid. 4.3). Au surplus, il convient de relever que le Tribunal fédéral a également considéré qu’une durée de près de onze mois était aussi insuffisante (TFA I 681/06 du 5 mars 2007 consid. 4.3). Quoi qu’il en soit, compte tenu des limitations fonctionnelles du recourant ( pas de marche prolongée sur des terrains irréguliers et pas de position à genoux et/ou accroupie ), celui-ci pourrait prétendre à des postes mieux rémunérés, comme cela ressort du revenu statistique qui lui est imputable (cf. infra). Cet emploi ne met dès lors pas pleinement en valeur sa capacité de travail et le salaire qu’il perçoit dans ce cadre n’est donc pas pertinent pour établir son revenu avec invalidité. Dans ce contexte, on ne perçoit pas en quoi l’intimée aurait violé l’égalité de traitement en rendant sa décision rapidement puisqu’elle était en droit de statuer sans tenir compte de l’activité exercée par le recourant et donc sans attendre de savoir si ses relations de travail étaient durables, cet élément n’étant pas déterminant en l’espèce. C’est ainsi à bon droit que l’intimée s’est fondée sur un revenu hypothétique en recourant aux données ESS, l’existence d’un revenu avec invalidité effectif fiable faisant défaut. La détermination du revenu avec invalidité ne prête pas le flanc à la critique. L’intimée, comme l’exige la jurisprudence, a déterminé le revenu avec invalidité sur la base des données salariales résultant de l’ESS adéquate. Partant, le salaire avec invalidité s’élève à 69’061 fr. 50. c) Compte tenu des salaires retenus avec et sans invalidité, le droit à une rente d’invalidité est exclu, a faute de préjudice économique, le revenu avec invalidité étant supérieur au revenu sans invalidité. Même si le salaire sans invalidité de 71’749 fr. 67 allégué par le recourant avait été admis, le préjudice économique du recourant serait inférieur à 10 %, ce qui exclut tout droit à une rente d’invalidité ([69’061.50 – 71’749.67] x 100 / 71’749.67 = 3.75 %).</w:t>
      </w:r>
    </w:p>
    <w:p>
      <w:r>
        <w:rPr>
          <w:b/>
        </w:rPr>
        <w:t>E. 7</w:t>
      </w:r>
    </w:p>
    <w:p>
      <w:r>
        <w:t>a) Reste à examiner le droit du recourant à une indemnité pour atteinte à l’intégrité. Sur l’avis de la Dre P.________, l’intimée a nié ce droit au recourant au motif qu’il n’existait pas de séquelles correspondant à un taux d’indemnité pour atteinte à l’intégrité, si bien que les conditions requises pour l’octroi de cette prestation de l’assurance-accidents n’étaient pas remplies. Le recourant conteste ce refus, estimant avoir droit à une indemnité pour atteinte à l’intégrité d’au moins 20 % compte tenu du blocage de ses quatre orteils et de la diminution de l’amplitude motrice de son nerf tibial gauche.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citée).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d) En l’occurrence, dans son appréciation du 6 décembre 2021, la Dre P.________ a retenu que le recourant ne présentait pas de séquelles qui correspondaient à un taux d’indemnité pour atteinte à l’intégrité. Quoi qu’en dise le recourant, sa situation a correctement été évaluée par la médecin d’arrondissement. En tant qu’elle retient l’absence d’atteinte importante à l’intégrité physique dans le cas particulier et que les conditions requises pour l’octroi de cette prestation de l’assurance-accidents ne sont pas remplies, la décision attaquée ne prête pas flanc à la critique. En effet, la Dre P.________ a basé son avis sur un dossier complet et un examen personnel du recourant. A cet égard, on relèvera que la fracture de la jambe gauche du recourant est consolidée (cf. rapport du 20 janvier 2020 du Dr F.________ et rapport non daté de la Dre R.________ transmis le 27 novembre 2020 à la CNA), qu’à la suite de l’AMO, les douleurs sur la face antérieure de la cheville en regard de la vis antéro-postérieure ont évolué favorablement (cf. rapport du 28 mai 2021 du Dr V.________ et rapport du 11 juin 2021 du Prof. AB.________) et que l’IRM de cette cheville n’a mis en exergue aucune anomalie (cf. rapport du 17 mars 2020 du Dr W.________). La fonctionnalité objective de la cheville a ainsi été confirmée par plusieurs praticiens. Alors même que la fixation d’une IPAI est une question d’ordre médical, le recourant s’est limité à faire valoir son propre avis sur la question. Bien que le Dr V.________ ait relevé une diminution de l’amplitude motrice au niveau du nerf tibial gauche de 50 % par rapport au droit, il n’a pas estimé d’atteinte à l’intégrité ni même constaté de limitations. Il n’a en tout cas pas indiqué qu’une telle atteinte correspondrait à une paralysie du nerf sciatique poplité interne (table 2 du barème de l’indemnisation des atteintes à l’intégrité). Le bilan neurologique effectué par ce praticien était pour le reste plutôt favorable, dans la mesure où il a indiqué que l’examen neurologique du recourant ne révélait pas d’atrophie au niveau des pédieux à gauche et que le bilan électrophysiologique ne révélait aucune anomalie du nerf péronier commun gauche. Le recourant n’a, au demeurant, produit aucun avis médical susceptible de remettre en cause les conclusions de la Dre P.________ quant à l’absence d’une atteinte importante à l’intégrité. En particulier, le rapport du Dr C.________ ne se prononce pas sur la question spécifique de l’IPAI, malgré le constat d’orteils en griffes des rangs deux à cinq. Il faut d’ailleurs constater que les Drs V.________, R.________ et le Prof. AB.________ ont également exposé que le recourant présentait des orteils en griffes, sans que cela ne constitue une atteinte importante à l’intégrité. L’IRM réalisé le 15 mars 2021 n’a, pour le surplus, pas mis en évidence de problèmes aux extenseurs, étant souligné que ces derniers étaient « normaux ». Vu ce qui précède, c’est à juste titre que l’intimée n’a pas accordé une IPAI au recourant.</w:t>
      </w:r>
    </w:p>
    <w:p>
      <w:r>
        <w:rPr>
          <w:b/>
        </w:rPr>
        <w:t>E. 8</w:t>
      </w:r>
    </w:p>
    <w:p>
      <w:r>
        <w:t>a) En conséquence, le recours doit être rejeté et la décision attaquée confirmée. La requête d’effet suspensif formulée par le recourant dans son mémoire de recours est, compte tenu du présent arrêt, devenue sans objet. b) Il n’y a pas lieu de percevoir de frais judiciaires (art. 61 let. f bis LPGA), ni d’allouer de dépens au recourant,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