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1038 vom 10. Januar 2025</w:t>
      </w:r>
    </w:p>
    <w:p>
      <w:r>
        <w:t>VD Tribunal cantonal, 2025-01-10, FR</w:t>
      </w:r>
    </w:p>
    <w:p>
      <w:r>
        <w:rPr>
          <w:b/>
        </w:rPr>
        <w:t xml:space="preserve">Quelle: </w:t>
      </w:r>
      <w:r>
        <w:t>https://mcp.opencaselaw.ch/entscheid/vd_findinfo_Arr_t___2024___1038</w:t>
      </w:r>
    </w:p>
    <w:p>
      <w:r>
        <w:t>FR: VD_FINDINFO Arrêt / 2024 / 1038 du 10 janvier 2025</w:t>
      </w:r>
    </w:p>
    <w:p>
      <w:r>
        <w:t>IT: VD_FINDINFO Arrêt / 2024 / 1038 del 10 gennaio 2025</w:t>
      </w:r>
    </w:p>
    <w:p>
      <w:pPr>
        <w:pStyle w:val="Heading2"/>
      </w:pPr>
      <w:r>
        <w:t>Regeste</w:t>
      </w:r>
    </w:p>
    <w:p>
      <w:r>
        <w:t>AI{ASSURANCE}, CONDITION DE RECEVABILITÉ, NOTIFICATION IRRÉGULIÈRE, DÉLAI DE RECOURS, NOUVELLE DEMANDE | 49 al. 3 LPGA, 87 al. 2 RAI, 87 al. 3 RAI</w:t>
      </w:r>
    </w:p>
    <w:p>
      <w:pPr>
        <w:pStyle w:val="Heading2"/>
      </w:pPr>
      <w:r>
        <w:t>Erwägungen</w:t>
      </w:r>
    </w:p>
    <w:p>
      <w:r>
        <w:rPr>
          <w:b/>
        </w:rPr>
        <w:t>E. 5</w:t>
      </w:r>
    </w:p>
    <w:p>
      <w:r>
        <w:t>a) En définitive, le recours, mal fondé, doit être rejeté et la décision rendue le 3 octobre 2023 par l’intimé confirmée. b)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c) Il n’y a pas lieu d’allouer de dépens à la partie recourante, qui n’obtient pas gain de cause (art. 61 let. g LPGA). d) La partie recourante est au bénéfice de l’assistance judiciaire. Les frais judiciaires mis à sa charge ci-avant sont donc provisoirement supportés par l’Etat et Me Pascale Botbol peut prétendre une équitable indemnité pour son mandat d’office, qu’il convient de fixer à 2'500 fr., débours et TVA compris (art. 2, 3 al. 2 et 3 bis RAJ [règlement cantonal du 7 décembre 2010 sur l’assistance judiciaire en matière civile ; BLV 211.02.3]). e)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