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103 vom 24. Januar 2024</w:t>
      </w:r>
    </w:p>
    <w:p>
      <w:r>
        <w:t>VD Tribunal cantonal, 2024-01-24, FR</w:t>
      </w:r>
    </w:p>
    <w:p>
      <w:r>
        <w:rPr>
          <w:b/>
        </w:rPr>
        <w:t xml:space="preserve">Quelle: </w:t>
      </w:r>
      <w:r>
        <w:t>https://mcp.opencaselaw.ch/entscheid/vd_findinfo_Arr_t___2024___103</w:t>
      </w:r>
    </w:p>
    <w:p>
      <w:r>
        <w:t>FR: VD_FINDINFO Arrêt / 2024 / 103 du 24 janvier 2024</w:t>
      </w:r>
    </w:p>
    <w:p>
      <w:r>
        <w:t>IT: VD_FINDINFO Arrêt / 2024 / 103 del 24 gennaio 2024</w:t>
      </w:r>
    </w:p>
    <w:p>
      <w:pPr>
        <w:pStyle w:val="Heading2"/>
      </w:pPr>
      <w:r>
        <w:t>Regeste</w:t>
      </w:r>
    </w:p>
    <w:p>
      <w:r>
        <w:t>ADMISSION DE LA DEMANDE, INDEMNITÉ EN CAS DE TRAVAIL RÉDUIT, ÉPIDÉMIE, VIRUS{MALADIE}, PERTE{ARGENT} | 31 al. 1 LACI, 32 LACI, 51 OACI</w:t>
      </w:r>
    </w:p>
    <w:p>
      <w:pPr>
        <w:pStyle w:val="Heading2"/>
      </w:pPr>
      <w:r>
        <w:t>Volltext</w:t>
      </w:r>
    </w:p>
    <w:p>
      <w:r>
        <w:t>Vaud Tribunal cantonal Cour des assurances sociales Arrêt / 2024 / 103</w:t>
      </w:r>
    </w:p>
    <w:p>
      <w:r>
        <w:t>ADMISSION DE LA DEMANDE, INDEMNITÉ EN CAS DE TRAVAIL RÉDUIT, ÉPIDÉMIE, VIRUS{MALADIE}, PERTE{ARGENT} | 31 al. 1 LACI, 32 LACI, 51 OACI</w:t>
      </w:r>
    </w:p>
    <w:p>
      <w:r>
        <w:t>TRIBUNAL CANTONAL ACH 13/23 - 17/2024 ZQ23.006027 COUR DES ASSURANCES SOCIALES _____________________________________________ Arrêt du 24 janvier 2024 ____________________ Composition :               M. Piguet , président Mmes Di Ferro Demierre et Durussel, juges Greffier : M.              Addor ***** Cause pendante entre : L.________ SA , à J.________, recourante, représentée par Me Olivier Subilia, avocat à Lausanne, et DIRECTION GÉNÉRALE DE L’EMPLOI ET DU MARCHÉ DU TRAVAIL , à Lausanne, intimée. _______________ Art. 31 al. 1 et 32 LACI ; 51 al. 1 OACI ; 28 al. 1, 30 et 36 LTV E n  f a i t  : A. a) En date du 31 mars 2020, l’entreprise L.________ SA (ci-après : L.________ SA ou la recourante) a transmis au Service de l’emploi (ci-après : le SDE ; depuis le 1 er juillet 2022 : Direction générale de l’emploi et du marché du travail) un préavis par lequel elle a requis l’introduction de mesures de réduction de l’horaire de travail pour huitante-huit employés dès le 1 er avril 2020. La demande était motivée par la généralisation de l’horaire du samedi à tous les jours de la semaine, sauf le dimanche,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L.________ SA contre cette décision, le SDE a confirmé la teneur de cette dernière par décision sur opposition du 5 février 2021. B. a) Par acte du 10 mars 2021, L.________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secteur infrastructure, la convention était également plafonnée. Ce secteur étant principalement financé par le prix d’utilisation du sillon, versé par le secteur du trafic régional des voyageurs, les recettes allaient automatiquement chuter.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 seulement par une convention collective cadre. Or cette convention n’excluait pas les licenciements pour motif économique. Pour finir, L.________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H.________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H.________ SA a été rejeté. d) Interpellée par le Juge instructeur quant à la suite qu’elle entendait donner à la présente procédure à la suite de l’arrêt CASSO ACH 36/21 – 145/2021, L.________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L.________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L.________ SA s’est déterminée le 24 novembre 2021 et a maintenu ses conclusions. g) Par arrêt du 5 avril 2022 (CASSO ACH 54/21 – 54/2022), la Cour des assurances sociales du Tribunal cantonal a rejeté le recours de L.________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https://www.L.________ SA.ch/data/dataimages/ Upload/L.________ SA_Rapport-de-gestion_2020.pdf]), celle-ci a, dans le cadre des mesures d’endiguement du coronavirus, réduit son offre conformément aux recommandations des autorités fédérales et cantonales, en adaptant l’ensemble de son offre de transports. Dès le 20 mars 2020, elle a supprimé les courses nocturnes puis, dès le 23 mars 2020, les trains ont circulé selon l’horaire du samedi, du lundi au vendredi. Dès le 6 avril 2020, elle a introduit un nouvel horaire réduit. Dès le 11 mai 2020, l’horaire du samedi a à nouveau été appliqué, avant un retour à la normale dès le 2 juin 2020 et une reprise des courses nocturnes à compter du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de couvrir le déficit provoqué par cette chute de recette. Dans la mesure où l’Etat subventionne des entités privées devant effectuer une tâche publique, il doit mettre à disposition les fonds nécessaires afin d’assurer leur équilibre financier. A l’instar de l’intimé, on peut également se demander si la recourante ne dispose pas d’une garantie de déficits plus étendue (cf. art. 16 al. 2 Convention-TRV).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 l’art. 11 de la Convention-TRV,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et canton).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 d’exploitation et d’entretien des infrastructures –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8C_328/2022), la IV e Cour de droit public du Tribunal fédéral a partiellement admis le recours interjeté par L.________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Reprenant l’instruction de la cause au mois de décembre 2023, la Cour des assurances sociales du Tribunal cantonal a informé les parties qu’elle n’entendait pas procéder à un complément d’instruction et leur a imparti un délai pour déposer leurs éventuelles déterminations. b) Dans ses déterminations du 10 janvier 2024, L.________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c) Dans ses déterminations du 10 janvier 2024, la DGEM a proposé une nouvelle fois le rejet du recours, soulignant que les garanties de déficit fournies par les différents commanditaires étaient suffisamment établies et permettaient de couvrir le déficit total pour le transport régional de voyageurs, si bien que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 er avril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entre J.________ et C.________, organisée sous la forme d’une société anonyme de droit privé, dont les actions sont détenues par la Confédération (28,35 %), le Canton de Vaud (41,72 %), les communes (19,18 %) et des actionnaires privés (10,75 %). La recourante offre principalement des prestations dans le domaine du transport public régional de voyageurs.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s’élevait à 8'578’516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L.________ SA relative à l’offre sur les prestations du secteur du trafic régional des voyageurs (TRV) et son indemnisation, applicable à la période d’horaire 2020/2021 [ci-après : la Convention-TRV]). c) En matière de subventionnement des infrastructures, la Confédération alloue des ressources financières au titre de l’infrastructure telle que définie à l’art. 62 al. 1 LCdF (loi fédérale du 20 décembre 1957 sur les chemins de fer ; RS 742.101) pour l’indemnisation des coûts non couverts d’exploitation (conduite de l’exploitation et entretien) et des amortissements directs du compte de résultats et pour l’indemnisation à hauteur des amortissements effectifs et des coûts non activables du compte des investissements (cf. art. 51 b al. 1 LCdF). Pour ce faire, la Confédération et les entreprises ferroviaires passent des conventions quadriennales sur les prestations, où elles y fixent à l’avance l’offre de prestations du secteur de l’infrastructure, l’indemnisation et les prêts prévus en se fondant sur les priorités de la Confédération en matière de politique des transports et sur les comptes prévisionnels des entreprises (art. 51 al. 1 LCdF). Pour l’année 2020, les indemnités d’exploitation et les contributions d’investissement allouées par la Confédération s’élevaient à 6'617'611 fr. (cf. art. 15 de la Convention de prestations entre la Confédération suisse et le gestionnaire d’infrastructure, L.________ SA pour les années 2017-2020 [ci-après : Convention d’infrastructure]).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https://www.L.________ SA.ch/data/dataimages/ Upload/L.________ SA_Rapport-de-gestion_2020.pdf]), celle-ci a, dans le cadre des mesures d’endiguement du coronavirus, réduit son offre conformément aux recommandations des autorités fédérales et cantonales, en adaptant l’ensemble de son offre de transports. Dès le 20 mars 2020, elle a supprimé les courses nocturnes puis, dès le 23 mars 2020, les trains ont circulé selon l’horaire du samedi, du lundi au vendredi. Dès le 6 avril 2020, elle a introduit un nouvel horaire réduit. Dès le 11 mai 2020, l’horaire du samedi a à nouveau été appliqué, avant un retour à la normale dès le 2 juin 2020 et une reprise des courses nocturnes à compter du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il apparaît qu’il appartient, compte tenu des mécanismes de financement mis en place, à la recourante de répondre d’un éventuel déficit, dès lors qu’elle est active uniquement dans le secteur du transport public régional de voyageurs (art. 36 al. 1 LTV ; cf. supra consid. 8b).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4). Dans la mesure toutefois où cette disposition ne fixe aucun mécanisme concret pour son application et ne confère aucune garantie expresse ou implicite, il n’y a pas lieu d’en tenir compte dans le cadre du présent examen. e) Cela étant constaté, il n’y a pas lieu d’examiner plus avant la portée de la Convention d’infrastructure dans le cadre de la présente problématique, dès lors qu’il est admis, sur le principe, que la recourante ne dispose pas d’une garantie de couverture de ses coûts d’exploitation. 10. Aussi convient-il d’examiner si la recourante a la possibilité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 travail (complément à la CCT cadre des transports publics vaudois) entre, d’une part, L.________ SA et la société M.________ SA et, d’autre part, le Syndicat du personnel des transports.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dès le 1 er avril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admis et la décision sur opposition litigieuse réformée, en ce sens que la recourante peut prétendre à l’indemnité en cas de réduction de l’horaire de travail dès le 1 er avril 2020. b) Il n’y a pas lieu de percevoir de frais judiciaires, la loi spéciale ne le prévoyant pas (art. 61 let. f 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5 février 2021 par le Service de l’emploi est réformée, en ce sens que L.________ SA a droit à l’indemnité en cas de réduction de l’horaire de travail dès le 1 er avril 2020. III. Il n’est pas perçu de frais judiciaires. IV. La Direction générale de l’emploi et du marché du travail versera à L.________ SA une indemnité de 2'500 fr. (deux mille cinq cents francs) à titre de dépens. Le président : Le greffier : Du L'arrêt qui précède, dont la rédaction a été approuvée à huis clos, est notifié à : ‑ Me Olivier Subilia, avocat (pour L.________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