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1020 vom 17. Januar 2025</w:t>
      </w:r>
    </w:p>
    <w:p>
      <w:r>
        <w:t>VD Tribunal cantonal, 2025-01-17, FR</w:t>
      </w:r>
    </w:p>
    <w:p>
      <w:r>
        <w:rPr>
          <w:b/>
        </w:rPr>
        <w:t xml:space="preserve">Quelle: </w:t>
      </w:r>
      <w:r>
        <w:t>https://mcp.opencaselaw.ch/entscheid/vd_findinfo_Arr_t___2024___1020</w:t>
      </w:r>
    </w:p>
    <w:p>
      <w:r>
        <w:t>FR: VD_FINDINFO Arrêt / 2024 / 1020 du 17 janvier 2025</w:t>
      </w:r>
    </w:p>
    <w:p>
      <w:r>
        <w:t>IT: VD_FINDINFO Arrêt / 2024 / 1020 del 17 gennaio 2025</w:t>
      </w:r>
    </w:p>
    <w:p>
      <w:pPr>
        <w:pStyle w:val="Heading2"/>
      </w:pPr>
      <w:r>
        <w:t>Regeste</w:t>
      </w:r>
    </w:p>
    <w:p>
      <w:r>
        <w:t>AI{ASSURANCE}, ÉVALUATION DE L'IMPOTENCE, ATTEINTE À LA SANTÉ PSYCHIQUE, ACCOMPAGNEMENT POUR FAIRE FACE AUX NÉCESSITÉS DE LA VIE | 42 al. 1 LAI, 42 al. 3 LAI, 9 LPGA, 37 RAI, 38 al. 1 RAI</w:t>
      </w:r>
    </w:p>
    <w:p>
      <w:pPr>
        <w:pStyle w:val="Heading2"/>
      </w:pPr>
      <w:r>
        <w:t>Erwägungen</w:t>
      </w:r>
    </w:p>
    <w:p>
      <w:r>
        <w:rPr>
          <w:b/>
        </w:rPr>
        <w:t>E. 1</w:t>
      </w:r>
    </w:p>
    <w:p>
      <w:r>
        <w:t>LPGA et art. 69 al. 1 let. a LAI), dans les trente jours suivant leur notification (art. 60 al. 1 LPGA). b) En l’occurrence, déposé en temps utile compte tenu des féries de fin d’année (art. 38 al. 4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allocation pour impotent de l’assurance-invalidité, en lien avec la demande topique déposée le 11 avril 2022.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d’autres termes, le régime légal applicable ratione temporis dépend du moment de la naissance du droit éventuel à la prestation sollicitée. Si cette date est antérieure au 1 er janvier 2022, la situation demeure régie par les anciennes dispositions légales et réglementaires en vigueur jusqu’au 31 décembre 2021. Si elle est postérieure au 1 er janvier 2022, la situation est régie par les nouvelles dispositions légales et réglementaires en vigueur dès le 1 er janvier 2022. En l’occurrence, la recourante a déposé sa demande d’allocation pour impotent en avril 2022, en alléguant un besoin d’aide existant depuis 2020, voire 2019. Tant l’ancien que le nouveau droit prévoient que le droit à l’allocation naît lorsqu’une impotence de degré faible au moins existe depuis une année sans interruption notable (art. 42 al. 4 LAI, dont le texte a été seulement reformulé dans le cadre de la modification législative) et un droit au paiement des arriérés de prestations pour les douze mois précédant le dépôt de la demande en cas de dépôt tardif (art. 48 al. 1 LAI, non modifié). S’agissant de la recourante, le droit éventuel à l’allocation pouvait donc prendre naissance en avril 2021 au plus tôt, de sorte que le droit en vigueur jusqu’au 31 décembre 2021 est applicable. On peut cependant relever que, s’agissant des directives établies par l’Office fédéral des assurances sociales (OFAS) à l’intention des offices AI cantonaux, la Circulaire sur l’invalidité et l’impotence dans l’assurance-invalidité du 1 er janvier 2015 (CIIAI) été remplacée par la Circulaire sur l’impotence du 1 er janvier 2022 (CSI), laquelle donne davantage de précisions. Le droit matériel ayant subi peu de modifications, il pourra, cas échéant, être fait référence aux deux circulaires.</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Enfin,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rPr>
          <w:b/>
        </w:rPr>
        <w:t>E. 4</w:t>
      </w:r>
    </w:p>
    <w:p>
      <w:r>
        <w:t>a) Selon une jurisprudence constante (ATF 127 V 94 consid. 3c ; 125 V 297 consid. 4a et les références citées), ainsi que selon les ch. 8010 ss CIIAI et 2020ss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 ch. 2016 à 2018 CSI).</w:t>
      </w:r>
    </w:p>
    <w:p>
      <w:r>
        <w:rPr>
          <w:b/>
        </w:rPr>
        <w:t>E. 5</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 cf. 2098 CSI). d) L'accompagnement est régulier lorsqu'il est nécessaire en moyenne au moins deux heures par semaine sur une période de trois mois (ch. 8053 CIIAI ; ch. 2093 CSI). Le Tribunal fédéral a reconnu que cette notion de la régularité était justifiée d’un point de vue matériel et partant conforme aux dispositions légales et réglementaires (ATF 133 V 450 consid. 6.2).</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w:t>
      </w:r>
    </w:p>
    <w:p>
      <w:r>
        <w:rPr>
          <w:b/>
        </w:rPr>
        <w:t>E. 6.1</w:t>
      </w:r>
    </w:p>
    <w:p>
      <w:r>
        <w:t>et 6.2).</w:t>
      </w:r>
    </w:p>
    <w:p>
      <w:r>
        <w:rPr>
          <w:b/>
        </w:rPr>
        <w:t>E. 7</w:t>
      </w:r>
    </w:p>
    <w:p>
      <w:r>
        <w:t>En l’espèce, la recourante a sollicité une allocation pour impotent en lien avec l’atteinte d’ordre psychique dont elle souffre. Le caractère invalidant de cette atteinte a été reconnu par l’intimé, qui lui a octroyé une rente entière à partir du 1 er septembre 2019. La condition du droit à un quart de rente au moins posée par l’art. 42 al. 3 LAI est ainsi remplie. Dans sa demande, la recourante a fait valoir les besoins suivants : aide pour un acte ordinaire de la vie (soins du corps), prestations d’aide médicale, surveillance personnelle et accompagnement pour faire face aux nécessités de la vie. Se fondant sur les conclusions de l’expertise psychiatrique ainsi que sur les résultats d’une évaluation de l’impotence effectuée au domicile de l’intéressée, l’intimé a nié l’ensemble de ces besoins. Avec ses objections puis dans son recours, la recourante a insisté sur son besoin d’aide en matière d’hygiène corporelle et a maintenu qu’elle avait besoin d’un accompagnement de plus de deux heures par semaine pour faire face aux nécessités de la vie.</w:t>
      </w:r>
    </w:p>
    <w:p>
      <w:r>
        <w:rPr>
          <w:b/>
        </w:rPr>
        <w:t>E. 8</w:t>
      </w:r>
    </w:p>
    <w:p>
      <w:r>
        <w:t>Concernant les actes ordinaires de la vie, seuls les soins d’hygiène ont été évoqués par la recourante. Sa demande porte sur une aide indirecte, étant admis qu’elle est en mesure de procéder elle-même à ces soins. En matière de soins d’hygiène, un besoin d’aide indirect est reconnu lorsqu’un assuré a besoin d’incitations permanentes pendant leur accomplissement (cf. TF 9C_236/2024 du 23 octobre 2024 consid. 6.1.2). Or, il n’apparait pas qu’un tiers doive intervenir dans une telle proportion durant l’accomplissement des soins d’hygiène par la recourante. En effet, il a été relevé dans le rapport d’évaluation du 20 avril 2023 que la recourante limitait ses soins d’hygiène aux occasions où elle devait se rendre à des rendez-vous médicaux, mais qu’elle les effectuait de manière correcte. Cette observation a été confirmée par les psychiatres traitants et l’infirmière à domicile. Ainsi, selon les précisions données par les Drs R.________ et V.________ dans leur rapport du 26 juin 2023, un accompagnement professionnel pouvait amener une amélioration dans ce domaine, en atténuant le lien entre les besoins d’hygiène et l’étayage relationnel. Il s’agissait d’instaurer une « présence humaine motivante et bienveillante, mais non contraignante » pour aider la patiente à mobiliser ses propres ressources. Une seconde visite de l’infirmière à domicile a ainsi été mise en place pour ce motif, en milieu d’année 2023. Dans son écrit du 25 mars 2024, l’infirmière référente a exposé que lors de la visite hebdomadaire supplémentaire consacrée à l’hygiène, elle amenait la recourante à procéder à ses soins d’hygiène et restait à proximité pour s’assurer que la routine était entièrement suivie. Elle a cependant précisé que cette intervention suivait l’objectif de l’amener à prendre soin d’elle-même, voire à y trouver du plaisir. Il s’agit donc bien d’un objectif thérapeutique, destiné à détacher l’hygiène personnelle d’un étayage relationnel, comme l’ont exposé les psychiatres traitants. Ainsi, les différents intervenants médicaux ont considéré que la fréquence à laquelle la recourante procédait à ses soins d’hygiène était seule problématique, non la qualité de ces soins lorsqu’elle les accomplissait. Une intervention plus fréquente ne paraissait pas adaptée, étant encore relevé que le niveau d’hygiène de la recourante n’a pas entraîné de péjoration de son état de santé psychique ou somatique. Il faut retenir en conséquence que l’intervention de l’infirmière dédiée à l’hygiène ne vise pas spécifiquement l’accomplissement de l’acte ordinaire de la vie. Cette intervention ne saurait en outre être qualifiée d’importante compte tenu d’une fréquence hebdomadaire, de sorte qu’aucun besoin d’aide ne peut être reconnu pour cet acte ordinaire de la vie.</w:t>
      </w:r>
    </w:p>
    <w:p>
      <w:r>
        <w:rPr>
          <w:b/>
        </w:rPr>
        <w:t>E. 9</w:t>
      </w:r>
    </w:p>
    <w:p>
      <w:r>
        <w:t>Il en va de même s’agissant des besoins de prestations d’aide médicale et de surveillance personnelle permanente. D’une part, les soins permanents visés par l’art. 37 al. 1 RAI sont des soins médicaux quotidiens, fournis durant une période assez longue. La préparation d’un pilulier ou l’accompagnement d’un patient chez le médecin ne sont pas pris en compte (cf. ch. 8032 CIIAI ; ch. 2058 ss CSI). Quant aux soins particulièrement astreignants visés par l’art. 37 al. 3 RAI, il s’agit de soins qui durent plus de quatre heures par jour ou de soins qui cumulent une durée supérieure à deux heures par jour et des conditions difficiles, tels les soins de nuits ou l’alimentation par sonde (cf. ch. 8057 s. CIIAI ; ch. 2063 ss CSI). Les soins psychothérapeutiques, l’ergothérapie, l’auriculothérapie et les soins infirmiers prodigués à la recourante n’entrent manifestement pas dans ces définitions. D’autre part, la surveillance personnelle permanente visée par les alinéas 2 et 3 de l’art. 37 RAI concerne la nécessité de la présence d’un tiers tout au long de la journée (cf. TF 9C_831/2017 du 3 avril 2018 consid. 3.1 ; ch. 8035 CIIAI ; ch. 2075 ss CSI). Les visites à domicile d’une infirmière deux fois par semaine et d’une assistante pour le ménage une fois par semaine ne constituent donc pas une surveillance personnelle. Par ailleurs, la recourante vit seule, dans un logement dont elle est locataire, depuis avril 2020. Selon les constatations de l’évaluatrice de l’intimé, non remises en cause par la recourante, cette dernière se rend seule à ses rendez-vous médicaux, effectue ses achats elle-même et sait organiser ses sorties récréatives. Il n’existe dès lors aucun élément indiquant que la recourante risquerait de se mettre en danger sans la surveillance permanente d’un tiers.</w:t>
      </w:r>
    </w:p>
    <w:p>
      <w:r>
        <w:rPr>
          <w:b/>
        </w:rPr>
        <w:t>E. 10</w:t>
      </w:r>
    </w:p>
    <w:p>
      <w:r>
        <w:t>Reste à déterminer si la recourante a besoin d’un accompagnement pour faire face aux nécessités de la vie au sens de l’art. 38 al. 1 let. a RAI. Sur ce point, elle a allégué qu’elle avait besoin d’être accompagnée dans tous les domaines de la vie, que ce soit pour planifier son quotidien, organiser son hygiène personnelle, s’alimenter, faire son ménage ou prévenir un isolement social. Cet accompagnement était prodigué à l’occasion des visites à domicile de l’infirmière et de l’aide au ménage, à raison de deux heures par semaine dès avril 2020, puis trois heures dès l’été 2023. Comme l’a relevé l’intimé, un suivi infirmier constitue en principe une mesure thérapeutique, qui ne peut être prise en compte en tant qu’accompagnement pour faire face aux nécessités de la vie (cf. ATF 133 V 450). Dans la mesure où l’intervention d’une infirmière à domicile est nécessaire, les frais sont en principe couverts par l’assurance obligatoire des soins en cas de maladie ou d’accident. En l’occurrence, le suivi infirmier à domicile a été prescrit par les psychiatres traitants de la recourante, en raison de ses difficultés d’ordre psychique. Il ressort clairement de la description donnée par l’infirmière référente dans son rapport du 25 mars 2024 qu’une première séance hebdomadaire de 45 minutes est consacrée à préparer le semainier et à travailler des objectifs en lien avec la pathologie, en particulier les angoisses, l’affirmation et l’estime de soi, la gestion des émotions. Il s’agit également de détecter d’éventuels signes avant-coureurs d’une décompensation afin de prendre les mesures médicales qui s’imposent. Une seconde entrevue hebdomadaire de 45 minutes est, comme déjà dit, consacrée aux soins d’hygiène avec principalement une visée thérapeutique. S’il est relevé que l’infirmière peut également être amenée, à l’occasion de ses visites, à assister la recourante pour passer certains appels téléphoniques, cette assistance de nature plutôt socio-éducative est décrite comme occasionnelle et s’inscrit néanmoins dans le cadre du soutien thérapeutique pour une patiente présentant des angoisses et des difficultés d’affirmation et d’estime de soi. Il en découle que le suivi à domicile de la recourante prodigué par l’infirmière en psychiatrie ne peut être pris en compte au titre d’un accompagnement pour faire face aux nécessités de la vie. Il en va différemment de l’aide au ménage dont bénéficie la recourante à raison d’une heure par semaine. Il est manifeste que cette aide, qui relève plus d’une intervention socio-éducative que d’une aide-ménagère, est indispensable pour que la recourante parvienne à tenir son ménage, tant par une incitation indirecte que par une aide concrète à l’accomplissement de certaines tâches. Il apparaît pour le surplus que la recourante arrive à organiser son quotidien de manière adéquate, en ce sens qu’elle peut préparer ses repas, structurer suffisamment sa journée à l’aide de rappels sur son téléphone et gérer son administratif. Le fait qu’elle privilégie des repas simples au quotidien ou qu’il lui arrive de manger dans son lit le soir ne signifie pas qu’elle a besoin d’une aide supplémentaire en regard du risque d’être placée dans une institution (cf. ch. 2097.1 à 2098.1 CSI). Elle est en outre capable de proposer des repas plus élaborés lorsque son enfant lui rend visite. L’état de santé de la recourante est stable depuis près de quatre ans grâce à des mesures thérapeutiques pluridisciplinaires et une aide supplémentaire pour le ménage, ce qui est attesté tant par ses psychiatres traitants que par l’infirmière référente. Enfin, les hypothèses visées par les let. b et c de l’art. 38 al. 1 RAI n’entrent pas en ligne de compte. L’évaluatrice a constaté que la recourante était capable de se rendre seule à ses rendez-vous, d’effectuer ses achats, d’avoir des loisirs hors de son domicile, de recevoir la visite de membres de sa famille et de fréquenter régulièrement le centre F.________ pour participer à des activités ou recevoir des soins. L’intéressée n’a pas contesté ces éléments, qui montrent qu’elle peut établir des contacts sociaux par elle-même et ne présente pas de risque de s’isoler durablement. Ainsi, il faut admettre avec l’intimé que le besoin d’accompagnement de la recourante est limité à une heure par semaine, ce qui est insuffisant pour être qualifié de régulier et ouvrir le droit à une allocation pour impotent de degré faible.</w:t>
      </w:r>
    </w:p>
    <w:p>
      <w:r>
        <w:rPr>
          <w:b/>
        </w:rPr>
        <w:t>E. 11</w:t>
      </w:r>
    </w:p>
    <w:p>
      <w:r>
        <w:t>La recourante a requis l’assignation et l’audition de Mmes C.________ et T.________ en tant que témoins. L’audition de ces deux témoins paraît superflue, dès lors que leurs rapports écrits figurent au dossier. Par ailleurs, comme démontré plus avant, le dossier est complet et permet à la Cour des assurances sociales de statuer en pleine connaissance de cause.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12</w:t>
      </w:r>
    </w:p>
    <w:p>
      <w:r>
        <w:t>a) En conclusion, le recours, mal fondé, doit être rejeté et la décision de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Marine Girardin peut prétendre une équitable indemnité pour son mandat d’office. Après examen de la liste des opérations déposée le 4 décembre 2024, compte tenu de l’importance et de la complexité du litige, il convient d’arrêter l’indemnité à 1'757 fr. 10,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