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2024 / 1014 vom 5. Dezember 2024</w:t>
      </w:r>
    </w:p>
    <w:p>
      <w:r>
        <w:t>VD Tribunal cantonal, 2024-12-05, FR</w:t>
      </w:r>
    </w:p>
    <w:p>
      <w:r>
        <w:rPr>
          <w:b/>
        </w:rPr>
        <w:t xml:space="preserve">Quelle: </w:t>
      </w:r>
      <w:r>
        <w:t>https://mcp.opencaselaw.ch/entscheid/vd_findinfo_Arr_t___2024___1014</w:t>
      </w:r>
    </w:p>
    <w:p>
      <w:r>
        <w:t>FR: VD_FINDINFO Arrêt / 2024 / 1014 du 5 décembre 2024</w:t>
      </w:r>
    </w:p>
    <w:p>
      <w:r>
        <w:t>IT: VD_FINDINFO Arrêt / 2024 / 1014 del 5 dicembre 2024</w:t>
      </w:r>
    </w:p>
    <w:p>
      <w:pPr>
        <w:pStyle w:val="Heading2"/>
      </w:pPr>
      <w:r>
        <w:t>Regeste</w:t>
      </w:r>
    </w:p>
    <w:p>
      <w:r>
        <w:t>AC, PERTE DE TRAVAIL À PRENDRE EN CONSIDÉRATION, REJET DE LA DEMANDE, DÉLAI-CADRE, CONDITION DU DROIT À LA PRESTATION D'ASSURANCE | 10 al. 2 let. b LACI, 11 al. 1 LACI, 8 al. 1 let. b LACI, 9 al. 1 LACI, 9 al. 2 LACI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consid. 5.3 ; 131 V 242 consid. 2.1 ; 121 V 362 consid. 1b). Les faits survenus postérieurement et ayant modifié cette situation doivent faire l’objet d’une nouvelle décision administrative (ATF 144 V 210 consid. 4.3.1 ; 121 V 362 consid. 1b, 117 V 287 consid. 4 et les références citées). e) Sur le vu de ce qui précède, l’intimée était fondée, par sa décision sur opposition du 31 janvier 2024, à nier le droit du recourant à l’ouverture d’un nouveau délai-cadre d’indemnisation dès le 26 juin 2023. 5. a) En définitive, le recours, mal fondé, doit être rejeté et la décision sur opposition entreprise confirmée. b) Il n’y a pas lieu de percevoir de frais judiciaires (art. 61 let. f bis LPGA), ni d’allouer de dépens au recourant, qui n’obtient pas gain de cause et a procédé sans mandataire qualifié (art. 61 let. g LPGA ; ATF 127 V 205 consid. 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