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1011 vom 14. November 2024</w:t>
      </w:r>
    </w:p>
    <w:p>
      <w:r>
        <w:t>VD Tribunal cantonal, 2024-11-14, FR</w:t>
      </w:r>
    </w:p>
    <w:p>
      <w:r>
        <w:rPr>
          <w:b/>
        </w:rPr>
        <w:t xml:space="preserve">Quelle: </w:t>
      </w:r>
      <w:r>
        <w:t>https://mcp.opencaselaw.ch/entscheid/vd_findinfo_Arr_t___2024___1011</w:t>
      </w:r>
    </w:p>
    <w:p>
      <w:r>
        <w:t>FR: VD_FINDINFO Arrêt / 2024 / 1011 du 14 novembre 2024</w:t>
      </w:r>
    </w:p>
    <w:p>
      <w:r>
        <w:t>IT: VD_FINDINFO Arrêt / 2024 / 1011 del 14 novembre 2024</w:t>
      </w:r>
    </w:p>
    <w:p>
      <w:pPr>
        <w:pStyle w:val="Heading2"/>
      </w:pPr>
      <w:r>
        <w:t>Regeste</w:t>
      </w:r>
    </w:p>
    <w:p>
      <w:r>
        <w:t>COMPÉTENCE RATIONE LOCI, CONVENTION SUR LA PROTECTION INTERNATIONALE DES ADULTES, DOMICILE À L'ÉTRANGER, REJET DE LA DEMANDE | 85 al. 2 LDIP, 129 CPC (CH), 5 al. 1 CLaH 2000</w:t>
      </w:r>
    </w:p>
    <w:p>
      <w:pPr>
        <w:pStyle w:val="Heading2"/>
      </w:pPr>
      <w:r>
        <w:t>Erwägungen</w:t>
      </w:r>
    </w:p>
    <w:p>
      <w:r>
        <w:rPr>
          <w:b/>
        </w:rPr>
        <w:t>E. 1</w:t>
      </w:r>
    </w:p>
    <w:p>
      <w:r>
        <w:t>[...], né le [...] 1932 à Téhéran (Iran) a épousé Y.________, née le [...] 1937, le 19 juillet 1957. De leur union sont issus trois enfants : X.________, Z.________ et R.________.</w:t>
      </w:r>
    </w:p>
    <w:p>
      <w:r>
        <w:rPr>
          <w:b/>
        </w:rPr>
        <w:t>E. 1.1</w:t>
      </w:r>
    </w:p>
    <w:p>
      <w:r>
        <w:t>Le recours est dirigé contre une décision de clôture d'enquête en raison d'une incompétence ratione loci .</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27 juillet 2020/151).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 en temps utile, par la fille de la personne concernée, qui a qualité de partie, le présent recours est recevable. Le recours étant toutefois manifestement mal fondé, au vu des considérations qui seront développées ci-après, il a été renoncé à consulter l'autorité de protection. 2.</w:t>
      </w:r>
    </w:p>
    <w:p>
      <w:r>
        <w:rPr>
          <w:b/>
        </w:rPr>
        <w:t>E. 2</w:t>
      </w:r>
    </w:p>
    <w:p>
      <w:r>
        <w:t>En 1979, la famille a emménagé à [...]. Citoyens britanniques, les époux ont vécu pendant plusieurs années en Suisse, à Nyon, dans l’appartement propriété de l’époux, avec leur fils Z.________. R.________ vit entre [...] et la Suisse, alors qu’X.________ demeure à [...]. Le couple d isposait d’une fortune importante, de plusieurs dizaines de millions de francs.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w:t>
      </w:r>
    </w:p>
    <w:p>
      <w:r>
        <w:t>La justice de paix n'a pas tenu d'audience. Elle a toutefois interpellé la recourante et la mère de celle-ci, qui ont pu se déterminer. Compte tenu du domicile de la recourante en [...], cette pratique apparaît conforme et la recourante ne soulève du reste aucun moyen sur ce point. La décision est donc formellement correcte.</w:t>
      </w:r>
    </w:p>
    <w:p>
      <w:r>
        <w:rPr>
          <w:b/>
        </w:rPr>
        <w:t>E. 2.3</w:t>
      </w:r>
    </w:p>
    <w:p>
      <w:r>
        <w:t>Aux termes de l’art. 129 CPC (code de procédure civile du 19 décembre 2008 ; RS 272), applicable par analogie par renvoi des art. 450f CC et 12 LVPAE, la procédure est conduite dans la langue officielle du canton dans lequel l'affaire est jugée. Dans le canton de Vaud, la langue officielle est le français (art. 3 Cst-VD (Constitution du Canton de Vaud du 14 avril 2003] ; BLV 101.01). En conséquence, seul l'acte rédigé en français sera examiné par la Chambre des curatelles. 3.</w:t>
      </w:r>
    </w:p>
    <w:p>
      <w:r>
        <w:rPr>
          <w:b/>
        </w:rPr>
        <w:t>E. 3</w:t>
      </w:r>
    </w:p>
    <w:p>
      <w:r>
        <w:t>Plusieurs décisions ont été rendues par la justice de paix pendant la période où le couple vivait à [...], concernant notamment le pouvoir légal de représentation de Y.________ pour son conjoint.</w:t>
      </w:r>
    </w:p>
    <w:p>
      <w:r>
        <w:rPr>
          <w:b/>
        </w:rPr>
        <w:t>E. 3.1</w:t>
      </w:r>
    </w:p>
    <w:p>
      <w:r>
        <w:t>La recourante fait grief à la justice de paix de ne pas avoir reconnu sa compétence pour statuer sur la requête tendant à l’institution d’une curatelle en faveur de sa mère. Elle fait valoir que les circonstances liées au départ de sa mère à [...] – dont elle soupçonne qu’il aurait été organisé par son frère Z.________ – seraient suspectes et ajoute que, si elle ne réside plus en Suisse, Y.________ est néanmoins encore partie à diverses procédures pénales et civiles ouvertes dans ce pays. Elle en déduit une compétence de la justice de paix pour examiner l'opportunité d'une éventuelle curatelle en faveur de Y.________.</w:t>
      </w:r>
    </w:p>
    <w:p>
      <w:r>
        <w:rPr>
          <w:b/>
        </w:rPr>
        <w:t>E. 3.2.1</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La mention de cette convention a été intégrée à l'al. 2 de l'art. 85 LDIP avec effet au 1 er juillet 2009 (Bucher, Commentaire romand, Loi sur le droit international privé, Convention de Lugano, Bâle 2011, n. 316 ad art. 85 LDIP, p. 755).</w:t>
      </w:r>
    </w:p>
    <w:p>
      <w:r>
        <w:rPr>
          <w:b/>
        </w:rPr>
        <w:t>E. 3.3</w:t>
      </w:r>
    </w:p>
    <w:p>
      <w:r>
        <w:t>Selon l'art. 5 ch. 1 CLaH 2000, les autorités, tant judiciaires qu'administratives, de l'Etat contractant de la résidence habituelle de l'adulte sont compétentes pour prendre des mesures tendant à la protection de sa personne ou de ses biens. La notion de résidence habituelle, qui n'est pas définie par la CLaH 2000, doit être déterminée de manière autonome (TF 5A_346/2012 du 12 juin 2012 consid. 4.1; TF 5A_257/2011 du 25 mai 2011 consid. 2.2; Füllemann, Das internationale Privat- und Zivilprozessrecht des Erwachsenenschutzes, thèse St-Gall 2008, n. 129, p. 85). Selon la définition qu'en donne en règle générale la jurisprudence, la résidence habituelle est basée sur une situation de fait et implique la présence physique dans un lieu donné. Est déterminant le centre effectif de vie de l'intéressé et de ses attaches, qui peut résulter soit de la durée de fait de la résidence et des relations ainsi créées, soit de la durée envisagée de la résidence et de l'intégration attendue. La résidence habituelle se détermine d'après des faits perceptibles de l'extérieur (ATF 110 Il 119 consid. 3 ; TF 5A_550/2012 du 10 septembre 2012 consid. 3.3.1 ; TF 5A_650/2009 du 11 novembre 2009 consid. 5.2, in SJ 2010 I 193 ; ATF 129 III 288 consid. 4.1, JdT 2003 I 281, s'agissant des Conventions de La Haye en général : TF 5A_346/2012 précité consid. 4.1 ; TF 5A_427/2009 du 27 juillet 2009 consid. 3.2, publié in La pratique du droit de la famille [ci-après : FamPra.ch] 2009, p. 1088 ; Schwander, Basler Kommentar, Internationales Privatrecht, 2 e éd., 2007, nn. 147 et 149 ad art. 85 LDIP, p. 591). Un séjour de six mois crée en principe une résidence habituelle, mais celle-ci peut exister également sitôt après le changement du lieu de séjour, si, en raison d'autres facteurs, elle est destinée à être durable et à remplacer le précédent centre d'intérêts (TF 5A_650/2009 précité consid. 5.2 ; TF 5A_220/2009 du 30 juin 2009 consid. 4.1.2, publié in SJ 2010 I 169 ; TF 5A_665/2016 du 2 décembre 2010 consid. 4.1 et les références citées ; TF 5P.367/2005 du</w:t>
      </w:r>
    </w:p>
    <w:p>
      <w:r>
        <w:rPr>
          <w:b/>
        </w:rPr>
        <w:t>E. 3.4</w:t>
      </w:r>
    </w:p>
    <w:p>
      <w:r>
        <w:t>A la lecture du dossier, on constate que la personne concernée a officiellement quitté le Canton de Vaud pour [...] en décembre 2023. Dans ses déterminations du 20 mars 2024, l’avocat de Y.________, Me [...], se limite à indiquer un départ « à l'étranger depuis quelques mois ». Compte tenu du fait que le signalement a été déposé le 8 février 2024 et que la décision litigieuse a été rendue le 13 mai 2024, le délai de six mois en principe nécessaire selon la jurisprudence rappelée ci-dessus pour pouvoir affirmer que la personne a une nouvelle résidence habituelle pourrait ne pas être atteint. Toutefois, il y a lieu de relever, d’une part, que la recourante elle-même admet que sa mère aurait quitté sa résidence en Suisse en novembre ou décembre 2022, soit près d'un an avant l'annonce au Contrôle des habitants ; elle ajoute d’ailleurs que son père serait mort « quelques semaines plus tard » à [...]. Or, on sait que celui-ci est décédé en juin 2023. D’autre part, il ressort du certificat médical établi le 18 mars 2024 par la Dre M.________ que la personne concernée a pu organiser les funérailles de son mari en juillet 2023 et a entrepris seule les démarches nécessaires à son installation à l'étranger, vraisemblablement dans le courant de l'année 2023 également. Ces éléments confirment, d’une part, la présence de la personne concernée dans un pays étranger depuis une date bien antérieure au 1 er décembre 2023 et, d’autre part, une volonté de changement de la résidence habituelle durable et définitive. On doit donc admettre qu’au moment où les signalements ont été déposés par X.________ auprès de la justice de paix, Y.________ n’avait plus sa résidence habituelle en Suisse au sens de l’art. 5 al. 1 CLaH 2000. La justice de paix n’était donc pas compétente pour prendre des mesures tendant à la protection de la personne ou de ses biens. A titre complémentaire, on peut ajouter que le certificat médical de la Dre M.________ confirme une pleine capacité de discernement de sa patiente. Certes, à ce jour, ce médecin ne voit plus personnellement sa patiente et elle admet que le suivi médical est assuré par des collègues à l'étranger, sous sa supervision. On peut bien sûr douter de l'indépendance du médecin, qui confirme certains éléments alors même qu'elle ne voit plus sa patiente, traitée et vue par des médecins à l'étranger. Toutefois, la recourante n'apporte aucun élément qui permettrait de remettre en doute ces constatations concernant la capacité de discernement de Y.________ – laquelle est présumée en application de l’art. 16 CC (ATF 144 III 264 consid. 6, SJ 2019 I 105) – si ce n'est que la curatelle de son défunt mari lui a été retirée tant par la Justice de paix du district de Nyon qu’apparemment par une juge de la Haute Cour de justice du [...]. Ces éléments peuvent cependant aisément s’expliquer par l’âge avancé de la personne concernée, sans qu’il ne faille en déduire une perte de la capacité de discernement. Enfin, le fait que Y.________ soit partie dans diverses procédures ouvertes en Suisse ne suffit pas à constituer un for permettant à l’autorité de protection de l’adulte et de l’enfant de ce pays de prendre des mesures tendant à la protection de sa personne ou de ses biens. En définitive, si la recourante maintient que sa mère a un besoin de protection, il lui appartiendra de saisir les autorités [...] compétentes. 4. En conclusion, le recours doit être rejeté et la décision entreprise confirmée. Les frais judiciaires de deuxième instance, arrêtés à 600 fr. (art. 74a al. 1 TFJC [tarif du 28 septembre 2010 des frais judiciaires civils ; BLV 270.11.5]), sont mis à la charge de la recourante qui succombe (art. 106 al. 1 CPC, applicable par renvoi des art. 450f CC et 12 al. 1 CPC). Par ces motifs, la Chambre des curatelles du Tribunal cantonal, statuant à huis clos, prononce : I. Le recours est rejeté. II. La décision du 13 mai 2024 est confirmée. III. Les frais d'arrêt, par 600 fr. (six cents francs), sont mis à la charge de la recourante X.________. IV. L'arrêt est exécutoire La présidente :              La greffière : Du L'arrêt qui précède, dont la rédaction a été approuvée à huis clos, est notifié à : ‑ Mme X.________, ‑ Me Cyrille Piguet, (pour Y.________),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 est décédé à [...] le 29 juin 2023, alors qu’il était encore officiellement domicilié à [...]. Il ressort du Registre cantonal des personnes que Y.________ a officiellement quitté la Suisse le 1 er décembre 2023. Elle vit actuellement dans la principauté de [...].</w:t>
      </w:r>
    </w:p>
    <w:p>
      <w:r>
        <w:rPr>
          <w:b/>
        </w:rPr>
        <w:t>E. 5</w:t>
      </w:r>
    </w:p>
    <w:p>
      <w:r>
        <w:t>Par courrier du 8 février 2024, X.________ a signalé la situation de sa mère, Y.________, à la justice de paix. Elle a notamment expliqué que sa mère, qui présentait d’importants problèmes de santé, avait quitté son appartement au mois de novembre 2022, que personne ne savait où elle se trouvait et que l’institution d’une mesure de protection en sa faveur était désormais nécessaire.</w:t>
      </w:r>
    </w:p>
    <w:p>
      <w:r>
        <w:rPr>
          <w:b/>
        </w:rPr>
        <w:t>E. 6</w:t>
      </w:r>
    </w:p>
    <w:p>
      <w:r>
        <w:t>Par courrier non daté reçu par la justice de paix le 7 mars 2024 et courrier du 13 mars 2024, X.________ a réitéré sa requête visant à l’institution d’une mesure de protection en faveur de sa mère.</w:t>
      </w:r>
    </w:p>
    <w:p>
      <w:r>
        <w:rPr>
          <w:b/>
        </w:rPr>
        <w:t>E. 7</w:t>
      </w:r>
    </w:p>
    <w:p>
      <w:r>
        <w:t>Dans un rapport du 18 mars 2024, la Dre M.________, médecin à [...], a confirmé qu’elle suivait Y.________ régulièrement depuis 2016. Depuis le départ de la prénommée à l’étranger, ce médecin expliquait que le suivi médical était assuré par des collègues monégasques mais sous sa supervision, des appels téléphoniques médicaux étant réguliers avec ces médecins, comme avec la patiente. La Dre M.________ certifiait que Y.________ avait, encore à ce jour, sa capacité de discernement. Des médecins spécialisés avaient procédé à des examens neuropsychologiques en 2021 et une évaluation officielle de sa « capacité totale » avait été effectuée en 2024. La doctoresse relevait que cette patiente vivait seule dans son appartement, qu’elle n’était pas vulnérable et qu’elle prenait de manière autonome toutes les décisions concernant sa vie quotidienne, sa santé et sa vie administrative. Pour ce médecin, au vu de ces éléments et des tâches récemment accomplies seule par la patiente (funérailles de son mari, obtention d’un permis de résidence à l’étranger, etc.), il ne faisait aucun doute que Y.________ était en pleine possession de ses capacités. La doctoresse relevait que malgré les années de suivi, elle n’avait jusque-là jamais entendu parlé ni d’X.________, ni de R.________. Elle ajoutait enfin : « Par contre, je souhaite vous alarmer que toutes ces lettres d’harcèlement (sic) de la part de ses enfants X.________ et R.________ sont très péjoratives pour leur mère ; situation qui dure et doit cesser pour le bien-être de ma patiente ».</w:t>
      </w:r>
    </w:p>
    <w:p>
      <w:r>
        <w:rPr>
          <w:b/>
        </w:rPr>
        <w:t>E. 8</w:t>
      </w:r>
    </w:p>
    <w:p>
      <w:r>
        <w:t>Par courrier du 20 mars 2024, Me [...], conseil de Y.________, a indiqué que les signalements effectués par X.________ étaient infondés dans la mesure où, selon les constations de la Dre M.________, sa cliente disposait de sa pleine capacité de discernement. L’avocat a également exposé que Y.________ était domiciliée à l’étranger et que la Justice de paix du district de Nyon n’était dès lors plus l’autorité compétente ratione loci .</w:t>
      </w:r>
    </w:p>
    <w:p>
      <w:r>
        <w:rPr>
          <w:b/>
        </w:rPr>
        <w:t>E. 9</w:t>
      </w:r>
    </w:p>
    <w:p>
      <w:r>
        <w:t>Par courrier du 10 avril 2024 adressé à X.________, la Juge de paix du district de Nyon (ci-après : la juge de paix) – se fondant sur les informations disponibles au Registre cantonal des personnes selon lesquelles Y.________ avait quitté la Suisse le 1 er décembre 2023 – a indiqué que la Justice de paix du district de Nyon n’était plus l’autorité compétente pour statuer sur une éventuelle mesure de curatelle. En outre, elle a également relevé que la Dre M.________ avait confirmé que Y.________ disposait de toute sa capacité de discernement dans tous les domaines. La juge de paix a imparti à X.________ un délai au 1 er mai 2024 pour se déterminer.</w:t>
      </w:r>
    </w:p>
    <w:p>
      <w:r>
        <w:rPr>
          <w:b/>
        </w:rPr>
        <w:t>E. 10</w:t>
      </w:r>
    </w:p>
    <w:p>
      <w:r>
        <w:t>Par courrier du 7 mai 2024, X.________ a confirmé sa requête tendant à l’institution d’une curatelle en faveur de sa mère et requérant la nomination d’un expert indépendant – au besoin d’un expert « de son nouveau pays de domicile » – pour juger de la capacité de discernement de celle-ci. En droit : 1.</w:t>
      </w:r>
    </w:p>
    <w:p>
      <w:r>
        <w:rPr>
          <w:b/>
        </w:rPr>
        <w:t>E. 15</w:t>
      </w:r>
    </w:p>
    <w:p>
      <w:r>
        <w:t>novembre 2005 consid. 5.1, in FamPra.ch 2006, p. 474 ; Schwander, op. cit. , n. 149 ad art. 85 LDIP, p. 591). Il ne peut y avoir de fiction de maintien du précédent domicile ou de la précédente résidence habituelle (Schwander, op. cit. , n. 147 ad art. 85 LDIP, p. 591). Le changement de résidence habituelle implique à la fois la perte de l'ancienne résidence habituelle et l'acquisition d'une nouvelle résidence habituelle ; il se peut qu'un certain laps de temps existe entre ces deux éléments, mais l'acquisition de cette nouvelle résidence habituelle peut également être instantanée dans l'hypothèse simple d'un déménagement de l'adulte considéré au moment où il a lieu comme durable sinon définitif (Lagarde, Rapport explicatif sur la Convention du 13 janvier 2000 sur la protection internationale des adultes, consultable ligne sur site http://www.hcch.net/index_fr.php?act=publications.details&amp;pid=2951 n. 50, p.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