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971 vom 9. Januar 2024</w:t>
      </w:r>
    </w:p>
    <w:p>
      <w:r>
        <w:t>VD Tribunal cantonal, 2024-01-09, FR</w:t>
      </w:r>
    </w:p>
    <w:p>
      <w:r>
        <w:rPr>
          <w:b/>
        </w:rPr>
        <w:t xml:space="preserve">Quelle: </w:t>
      </w:r>
      <w:r>
        <w:t>https://mcp.opencaselaw.ch/entscheid/vd_findinfo_Arr_t___2023___971</w:t>
      </w:r>
    </w:p>
    <w:p>
      <w:r>
        <w:t>FR: VD_FINDINFO Arrêt / 2023 / 971 du 9 janvier 2024</w:t>
      </w:r>
    </w:p>
    <w:p>
      <w:r>
        <w:t>IT: VD_FINDINFO Arrêt / 2023 / 971 del 9 gennaio 2024</w:t>
      </w:r>
    </w:p>
    <w:p>
      <w:pPr>
        <w:pStyle w:val="Heading2"/>
      </w:pPr>
      <w:r>
        <w:t>Regeste</w:t>
      </w:r>
    </w:p>
    <w:p>
      <w:r>
        <w:t>APPAREIL ACOUSTIQUE, CAS DE RIGUEUR, MOYEN AUXILIAIRE, FORFAIT | 21 LAI</w:t>
      </w:r>
    </w:p>
    <w:p>
      <w:pPr>
        <w:pStyle w:val="Heading2"/>
      </w:pPr>
      <w:r>
        <w:t>Erwägungen</w:t>
      </w:r>
    </w:p>
    <w:p>
      <w:r>
        <w:rPr>
          <w:b/>
        </w:rPr>
        <w:t>E. 9</w:t>
      </w:r>
    </w:p>
    <w:p>
      <w:r>
        <w:t>a)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b) Le Tribunal fédéral a eu l’opportunité de se prononcer sur la conformité à la loi de la procédure prévue pour l’examen des cas de rigueur contenue dans le CMAI (en particulier s’agissant des ch. 2053*, 2055* et 2056* CMAI). Il a considéré que la réglementation adoptée par l'Office fédéral des assurances sociales dans ladite circulaire est au service de l'égalité de traitement des assurés dans l'application de la loi. Il existe en effet un critère objectif, à savoir un nombre limité de cliniques ORL autorisées à évaluer les conditions d'un cas de rigueur conformément au chiffre 2053* CMAI, qui garantit l'égalité de traitement des assurés ayant besoin d'appareils auditifs dépassant le forfait de coûts selon le chiffre 5.07 de l'annexe à l'OMAI. Si, au lieu de cela, on se basait sur l'évaluation de l'acousticien consulté par la personne assurée, l'égalité de traitement paraîtrait douteuse. En outre, un acousticien est soumis à un certain conflit d'intérêts lors de l'évaluation de l'appareil auditif approprié, puisqu'il est à la fois vendeur et conseiller (TF 9C_114/2018 du 19 juillet 2018 consid. 4 ; cf. également : TF 9C_316/2019 du 7 octobre 2019 consid. 4 et 9C_506/2019 du 15 octobre 2019 consid. 3).</w:t>
      </w:r>
    </w:p>
    <w:p>
      <w:r>
        <w:rPr>
          <w:b/>
        </w:rPr>
        <w:t>E. 10</w:t>
      </w:r>
    </w:p>
    <w:p>
      <w:r>
        <w:t>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11</w:t>
      </w:r>
    </w:p>
    <w:p>
      <w:r>
        <w:t>a) En l’espèce, il est établi que le recourant présente une surdité bilatérale symétrique de degré moyen, pour laquelle il peut, au minimum, bénéficier de la prise en charge du coût forfaitaire d’un appareil acoustique binaural (cf. communication de l’OAI du 18 mai 2020). Il n’est par ailleurs pas contesté que le recourant remplit les conditions permettant la reconnaissance d’un cas de rigueur et autorisant la prise en charge des coûts supplémentaires d’un appareillage auditif (cf. rapports des Drs G.________ du 12 mai 2020 et J.________ du 11 avril 2022). b) Il convient, cela étant, d’examiner si le moyen auxiliaire revendiqué, à savoir l’appareillage Phonak Lyric, correspond à la définition légale d’un moyen auxiliaire et s’il revêt les conditions d’adéquation, de nécessité et d’économicité indispensables à sa prise en charge par l’assurance-invalidité.</w:t>
      </w:r>
    </w:p>
    <w:p>
      <w:r>
        <w:rPr>
          <w:b/>
        </w:rPr>
        <w:t>E. 12</w:t>
      </w:r>
    </w:p>
    <w:p>
      <w:r>
        <w:t>On peut d’emblée considérer, à l’instar du recourant, que l’appareillage revendiqué ne constitue pas un élément endogène, mais bien exogène, dans la mesure où il ne nécessite pas une intervention spécifique, ni même l’assistance d’un tiers, pour l’insérer et le retirer. Quoi qu’en dise l’intimé dans la décision querellée, on retient que le recourant est autonome dans la gestion de ses appareils acoustiques et qu’il a reçu les instructions nécessaires pour insérer et retirer son appareillage dans le cadre de ses activités quotidiennes. Il n’y a pas lieu de douter des explications fournies par le recourant à cet égard, lesquelles ont été appuyées à satisfaction par son audioprothésiste (cf. compte-rendu de C.________ du 2 décembre 2022).</w:t>
      </w:r>
    </w:p>
    <w:p>
      <w:r>
        <w:rPr>
          <w:b/>
        </w:rPr>
        <w:t>E. 13</w:t>
      </w:r>
    </w:p>
    <w:p>
      <w:r>
        <w:t>Il s’agit, en outre, d’écarter la position de l’intimé en ce qu’il estime que le choix du recourant en faveur de l’appareillage Phonak Lyric aurait été dicté par des considérations esthétiques. L’appréciation de l’intimé a cet égard est en effet largement contredite non seulement par les propos constants du recourant et de son audioprothésiste, mais également par le Dr L.________ aux termes de son rapport à l’intimé du 28 octobre 2022 (cf. également : correspondance du recourant du 28 octobre 2022, compte-rendu et attestation de C.________ des 2 décembre 2022 et 1 er mai 2023). On ajoutera que les recommandations du groupe de travail « Moyens auxiliaires COAI – OFAS » – que l’intimé n’a d’ailleurs pas produites auprès du tribunal de céans – ne constituent pas des règles de droit et que ces dernières se fondent sur des considérations d’ordre général, auxquelles le recourant a établi à satisfaction faire exception. On peut donc, avec le recourant, retenir que l’appareillage litigieux n’est pas une solution dictée par des facteurs esthétiques, mais plutôt par des motifs liés à son invalidité et à ses conséquences dans le cadre de la variété de ses activités professionnelles.</w:t>
      </w:r>
    </w:p>
    <w:p>
      <w:r>
        <w:rPr>
          <w:b/>
        </w:rPr>
        <w:t>E. 14</w:t>
      </w:r>
    </w:p>
    <w:p>
      <w:r>
        <w:t>En dépit des considérations qui précèdent, il n’est pas possible, en l’état du dossier, de statuer sur le caractère adéquat et économique du moyen auxiliaire revendiqué. Ainsi que l’a souligné le Tribunal fédéral (cf. jurisprudence citée sous consid. 9b), il apparaît indispensable, pour des motifs d’égalité de traitement, de disposer de l’avis d’une clinique ORL autorisée avant de se déterminer relativement à un cas de rigueur et à un appareillage spécifique. On dispose certes du rapport du Dr J.________ du 11 avril 2022, lequel évolue au sein d’une clinique ORL autorisée en vertu du chiffre 2053* CMAI. Ce spécialiste a retenu la réalisation des conditions d’un cas de rigueur en faveur du recourant, ce qui n’est pas remis en cause dans le cadre de la présente procédure. Cela étant, il s’est prononcé en lien avec un appareillage de type Signia Styletto 5X et, vraisemblablement, sans avoir eu connaissance de l’aggravation de la perte auditive et de l’intervention nécessitée par une dysfonction tubaire dès août 2021. Dans ce contexte, l’avis du Dr L.________ du 28 octobre 2022 et les explications fournies par C.________ les 2 décembre 2022 et 1 er mai 2023 ne constituent pas des appréciations conformes aux exigences de la jurisprudence fédérale pour déterminer si le moyen auxiliaire sollicité est adéquat et économique. On ajoutera que fait également défaut au dossier du recourant le devis comparatif sollicité par l’intimé le 18 novembre 2022. En l’absence d’une nouvelle expertise auprès d’une clinique ORL agréée selon le chiffre 2053* CMAI et d’un devis comparatif relatif au modèle Phonak Lyric, il s’avère impossible de statuer sur la prise en charge des coûts supplémentaires revendiqués, ni d’ailleurs d’en déterminer précisément le montant.</w:t>
      </w:r>
    </w:p>
    <w:p>
      <w:r>
        <w:rPr>
          <w:b/>
        </w:rPr>
        <w:t>E. 15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w:t>
      </w:r>
    </w:p>
    <w:p>
      <w:r>
        <w:rPr>
          <w:b/>
        </w:rPr>
        <w:t>E. 16</w:t>
      </w:r>
    </w:p>
    <w:p>
      <w:r>
        <w:t>a) En l’occurrence, on peut retenir que l’intimé a failli à son obligation d’instruire la cause à satisfaction, alors qu’il aurait dû, dans un premier temps, réclamer le devis comparatif requis le 18 novembre 2022 et, dans un second temps, soumettre une nouvelle fois le dossier au Dr J.________ compte tenu des explications fournies par le recourant, son audioprothésiste et son médecin spécialiste traitant. Il ne pouvait échapper à l’intimé que son dossier était incomplet au moment de rendre la décision querellée, alors qu’il était manifestement insuffisant de se fonder sur les considérations d’ordre général formulées dans les recommandations d’un groupe de travail en matière de moyens auxiliaires. b) Il convient donc de renvoyer la cause à l’intimé pour procéder aux mesures d’instruction précitées, lesquelles correspondent pour l’essentiel à celles requises par le recourant à titre subsidiaire dans sa réplique du 12 mai 2023. On ajoutera qu’au vu du résultat du recours, il est superflu de donner suite à la demande d’audition du recourant.</w:t>
      </w:r>
    </w:p>
    <w:p>
      <w:r>
        <w:rPr>
          <w:b/>
        </w:rPr>
        <w:t>E. 17</w:t>
      </w:r>
    </w:p>
    <w:p>
      <w:r>
        <w:t>a) En définitive,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 le juge unique prononce : I. Le recours est admis. II. La décision rendue le 16 janvier 2023 par l’Office de l’assurance-invalidité pour le canton de Vaud est annulée, la cause lui étant renvoyée pour instruction complémentaire dans le sens des considérants. III. Les frais judiciaires, arrêtés à 600 fr. (six cents francs), sont portés à la charge de l’Office de l’assurance-invalidité pour le canton de Vaud. IV. L’Office de l’assurance-invalidité pour le canton de Vaud versera au recourant une indemnité de 2’000 fr. (deux mille francs) à titre de dépens. Le juge unique :               La greffière : Du L'arrêt qui précède est notifié, par l'envoi de photocopies, à : ‑ Me Corinne Monnard Séchaud,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