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97 vom 13. Februar 2023</w:t>
      </w:r>
    </w:p>
    <w:p>
      <w:r>
        <w:t>VD Tribunal cantonal, 2023-02-13, FR</w:t>
      </w:r>
    </w:p>
    <w:p>
      <w:r>
        <w:rPr>
          <w:b/>
        </w:rPr>
        <w:t xml:space="preserve">Quelle: </w:t>
      </w:r>
      <w:r>
        <w:t>https://mcp.opencaselaw.ch/entscheid/vd_findinfo_Arr_t___2023___97</w:t>
      </w:r>
    </w:p>
    <w:p>
      <w:r>
        <w:t>FR: VD_FINDINFO Arrêt / 2023 / 97 du 13 février 2023</w:t>
      </w:r>
    </w:p>
    <w:p>
      <w:r>
        <w:t>IT: VD_FINDINFO Arrêt / 2023 / 97 del 13 febbraio 2023</w:t>
      </w:r>
    </w:p>
    <w:p>
      <w:pPr>
        <w:pStyle w:val="Heading2"/>
      </w:pPr>
      <w:r>
        <w:t>Regeste</w:t>
      </w:r>
    </w:p>
    <w:p>
      <w:r>
        <w:t>DROIT D'ÊTRE ENTENDU, DROIT D'OBTENIR UNE DÉCISION, RELATIONS PERSONNELLES, ACTION EN MODIFICATION | 134 al. 4 CC, 29 al. 1 Cst., 29 al. 2 Cst.</w:t>
      </w:r>
    </w:p>
    <w:p>
      <w:pPr>
        <w:pStyle w:val="Heading2"/>
      </w:pPr>
      <w:r>
        <w:t>Erwägungen</w:t>
      </w:r>
    </w:p>
    <w:p>
      <w:r>
        <w:rPr>
          <w:b/>
        </w:rPr>
        <w:t>E. 1.1</w:t>
      </w:r>
    </w:p>
    <w:p>
      <w:r>
        <w:t>Le recours est dirigé contre une décision de l’autorité de protection de l’enfant qui, d’une part, a rejeté la requête de la recourante en modification du jugement de divorce s’agissant des relations personnelles des parents sur leurs deux enfant et qui, d’autre part, a complété d’office le chiffre II de la convention de divorce signée par les parties le 8 mai 2020 et ratifiée par le Président du Tribunal civil de l’arrondissement de la Côte le 20 octobre 2020 (cf. art. 134 al. 4 CC [Code civil suisse du 10 décembre 1907 ; RS 210]).</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CCUR 4 mai 2017/80).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1.2.2</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1-456 ZGB, 7 e éd., Bâle 2022,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mère des enfants concernés, partie à la procédure, le recours est recevable. Il en va de même des pièces produites en deuxième instance, si tant est qu'elles ne figurent pas au dossier. L’autorité de protection a renoncé à se déterminer. L’intimé a conclu au rejet du recours.</w:t>
      </w:r>
    </w:p>
    <w:p>
      <w:r>
        <w:rPr>
          <w:b/>
        </w:rPr>
        <w:t>E. 2.1</w:t>
      </w:r>
    </w:p>
    <w:p>
      <w:r>
        <w:t>La recourante précise qu’elle ne remet pas en cause la manière dont l'alternance de la garde a été complétée par la justice de paix (cf. recours, ch. 11-19, pp. 6-8, spéc. ch. 19 p. 8). Elle se plaint en revanche de déni de justice et d’une violation de son droit d’être entendue, faisant valoir que l’autorité de première instance n’a pas traité sa requête du 28 avril 2022 s’agissant de la règlementation des contacts téléphoniques avec ses enfants.</w:t>
      </w:r>
    </w:p>
    <w:p>
      <w:r>
        <w:rPr>
          <w:b/>
        </w:rPr>
        <w:t>E. 2.2.1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Selon la ligne directrice suivie par le Tribunal fédéral et développée dans le cadre des procédures de droit matrimonial, l'audition d'un enfant est possible dès qu'il a six ans révolus (ATF 131 III 553 consid. 1.2.3 ; ATF 133 III 553 consid. 3 ; TF 5A53/2017 du 23 mars 2017 consid. 4.1).</w:t>
      </w:r>
    </w:p>
    <w:p>
      <w:r>
        <w:rPr>
          <w:b/>
        </w:rPr>
        <w:t>E. 2.2.3</w:t>
      </w:r>
    </w:p>
    <w:p>
      <w:r>
        <w:t>Selon l'art. 29 al. 1 Cst. (Constitution fédérale de la Confédération suisse du 18 avril 1999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Commet également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ou qu’elle ne le fait que partiellement (ATF 144 II 184 consid. 3.1 et les références citées ; ATF 142 II 154 consid. 4.2 ; ATF 135 I 6 consid. 2.1, JdT 2011 IV 17 ; ATF 134 I 229 consid. 2.3, JdT 2009 I 325 ; TF 5A_945/2021 du 27 avril 2022 consid. 4.2.1 ; TF 4A_410/2020 du 20 octobre 2020 consid. 2.1 ; TF 5A_230/2013 du 19 juillet 2013 consid. 4.1). Il en va de même si elle n’établit pas entièrement les faits ou n’examine qu’une partie de la requête (TF 5A_19/2020 du 18 mai 2020 consid. 6). Le retard injustifié couvre l’hypothèse d’une absence de décision constitutive de déni de justice matériel (Jeandin, CPC Commenté, Bâle 2011, n. 27 ad art. 319 CPC ; CREC 16 janvier 2012/8).</w:t>
      </w:r>
    </w:p>
    <w:p>
      <w:r>
        <w:rPr>
          <w:b/>
        </w:rPr>
        <w:t>E. 2.2.4</w:t>
      </w:r>
    </w:p>
    <w:p>
      <w:r>
        <w:t>Consacré à l’art. 29 al. 2 Cst., le droit d'être entendu est une garantie constitutionnelle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satisfaire à cette exigence, il suffit que l'autorité mentionne, au moins brièvement, les motifs qui l'ont guidée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w:t>
      </w:r>
    </w:p>
    <w:p>
      <w:r>
        <w:rPr>
          <w:b/>
        </w:rPr>
        <w:t>E. 2.2.5</w:t>
      </w:r>
    </w:p>
    <w:p>
      <w:r>
        <w:t>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 er février 2016 consid. 3.2.2).</w:t>
      </w:r>
    </w:p>
    <w:p>
      <w:r>
        <w:rPr>
          <w:b/>
        </w:rPr>
        <w:t>E. 2.3</w:t>
      </w:r>
    </w:p>
    <w:p>
      <w:r>
        <w:t>En l’espèce, la juge de paix a entendu les parents à l’audience du 25 janvier 2022, mais pas les enfants A.T.________, âgé de 13 ans, et B.T.________, âgé de 11 ans. L’autorité de protection a en outre statué sur les conclusions de la recourante du 15 décembre 2021 concernant l’alternance de la garde alternée, cette dernière ayant revendiqué l’attribution des semaines paires, mais a rendu sa décision sans se prononcer sur les conclusions du 28 avril 2022 concernant les contacts téléphoniques entre la recourante et ses enfants, axant les considérants de la décision du 22 août 2022 uniquement sur le premier objet. Or, à cet égard, la recourante avait complété sa requête initiale en demandant expressément à l’autorité de première instance de régler, en sus, les contacts téléphoniques avec ses enfants lorsqu’ils seraient chez leur père. Les conclusions prises par la recourante sur cet aspect n’ont ainsi pas fait l’objet d’une décision de la part de la justice de paix, qui ne les a nullement évoquées ni a fortiori traitées, contrairement aux conclusions du 15 décembre 2021 qu’elle a rejetées (cf. chiffre I de la décision entreprise ainsi libellé « rejette la requête en fixation des modalités d’exercice de la garde alternée déposée le 15 décembre 2021 par G.________ » ). Il en résulte qu’un déni de justice matériel a été commis s’agissant de la question des contacts téléphoniques entre la recourante et ses enfants. Cette violation grave d’une garantie formelle ne saurait être réparée devant la Chambre de céans, eu égard à la garantie de la double instance. Il convient dès lors d’annuler le chiffre I du dispositif de la décision du 22 août 2022 et de renvoyer la cause à la justice de paix pour qu’elle statue sur les conclusions n° 2 à 5 de la requête du 28 avril 2022 de la recourante, étant précisé que le chiffre II de la décision entreprise concernant l’alternance de la garde alternée n’a pas été contesté et doit être confirmé. Dans ce sens, il est également souligné que les conclusions de la recourante sur l’alternance de la garde alternée (soit les conclusions prises au pied de sa requête du 15 décembre 2021 ainsi que la conclusion n° 1 de sa requête du 28 avril 2022) ont été rejetées et que la recourante n’a pas contesté ce rejet, selon ce qu’elle a expressément déclaré dans la motivation de son recours. Il faut dès lors considérer que lorsque la recourante déclare s’en prendre au chiffre I du dispositif de la décision litigieuse – dont elle demande l’annulation –, c’est uniquement en tant que ce chiffre n’a pas traité de sa requête tendant à la réglementation des contacts téléphoniques. La question de l’alternance de la garde alternée ne saurait être réexaminée dans le cadre du complément d’instruction et doit être ici confirmée.</w:t>
      </w:r>
    </w:p>
    <w:p>
      <w:r>
        <w:rPr>
          <w:b/>
        </w:rPr>
        <w:t>E. 3</w:t>
      </w:r>
    </w:p>
    <w:p>
      <w:r>
        <w:t>La recourante conteste également la mise à sa charge des frais de première instance. En l’occurrence, la répartition des frais de première instance dépend du sort donné à la question de la réglementation des contacts téléphoniques entre la recourante et ses enfants. Partant, dans la mesure où l’issue de l’instruction conduira à une nouvelle répartition des frais de première instance, le chiffre IV de la décision du 22 août 2022 doit être annulé et la cause renvoyée à la justice de paix pour qu’elle rende une nouvelle décision sur cette question, en application de l'art. 318 al. 1 let. c CPC.</w:t>
      </w:r>
    </w:p>
    <w:p>
      <w:r>
        <w:rPr>
          <w:b/>
        </w:rPr>
        <w:t>E. 4</w:t>
      </w:r>
    </w:p>
    <w:p>
      <w:r>
        <w:t>En conclusion, le recours doit être admis, la décision entreprise annulée aux chiffres I et IV de son dispositif et la cause renvoyée à l’autorité de première instance pour nouvelle instruction et nouvelle décision dans le sens des considérants, la décision étant confirmée pour le surplus. Les frais judiciaires de deuxième instance, arrêtés à 600 fr. (art. 74a al. 1 TFJC [tarif du 28 septembre 2010 des frais judiciaires civils ; BLV 270.11.5]), sont mis à la charge de l’intimé, qui succombe (art. 106 al. 1 CPC) et qui en remboursera la quotité à la recourante qui les a avancés. Celui-ci versera en outre à la recourante la somme de 600 fr. à titre de dépens de deuxième instance (art. 9 al. 2 et 19 al. 2 TDC [tarif des dépens en matière civile du 23 novembre 2010 ; BLV 270.11.6]). Par ces motifs, la Chambre des curatelles du Tribunal cantonal, statuant à huis clos, prononce : I. Le recours est admis. II. La décision est annulée aux chiffres I et IV de son dispositif et la cause renvoyée à la Justice de paix du district de Nyon pour complément d’instruction et nouvelle décision dans le sens des considérants ; elle est confirmée pour le surplus. III. Les frais judiciaires de deuxième instance, arrêtés à 600 fr. (six cents francs), sont mis à la charge de l’intimé W.________. IV. L’intimé W.________ versera à la recourante W.________ la somme de 1'200 fr. (mille deux cents francs) à titre de remboursement de l’avance des frais judiciaires et de dépens de deuxième instance. V. L'arrêt est exécutoire. La présidente :              La greffière : Du L'arrêt qui précède, dont la rédaction a été approuvée à huis clos, est notifié à : ‑ Me Alexandra Lopez, avocate (pour G.________), ‑ Me Nathalie Bürgisser Scheurlen, avocate (pour W.________),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