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968 vom 29. Januar 2024</w:t>
      </w:r>
    </w:p>
    <w:p>
      <w:r>
        <w:t>VD Tribunal cantonal, 2024-01-29, FR</w:t>
      </w:r>
    </w:p>
    <w:p>
      <w:r>
        <w:rPr>
          <w:b/>
        </w:rPr>
        <w:t xml:space="preserve">Quelle: </w:t>
      </w:r>
      <w:r>
        <w:t>https://mcp.opencaselaw.ch/entscheid/vd_findinfo_Arr_t___2023___968</w:t>
      </w:r>
    </w:p>
    <w:p>
      <w:r>
        <w:t>FR: VD_FINDINFO Arrêt / 2023 / 968 du 29 janvier 2024</w:t>
      </w:r>
    </w:p>
    <w:p>
      <w:r>
        <w:t>IT: VD_FINDINFO Arrêt / 2023 / 968 del 29 gennaio 2024</w:t>
      </w:r>
    </w:p>
    <w:p>
      <w:pPr>
        <w:pStyle w:val="Heading2"/>
      </w:pPr>
      <w:r>
        <w:t>Regeste</w:t>
      </w:r>
    </w:p>
    <w:p>
      <w:r>
        <w:t>TRAVAIL CONVENABLE, SÛRETÉS, DEMEURE, ABANDON D'EMPLOI, FAUTE DE GRAVITÉ MOYENNE | 30 LACI, 45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bien-fondé la suspension du droit du recourant à l’indemnité de chômage pour une durée de vingt-trois jours, au motif qu’il aurait résilié son contrat de travail avec E.________ SA sans s’être préalablement assuré d’avoir un autre emploi.</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b)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Boris Rubin , Commentaire de la loi sur l’assurance-chômage, Genève/Zurich/Bâle 2014, n° 33 ss ad art. 30 LACI). d)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du Code des obligations (CO, RS 220 ; TF 8C_285/2013 du 11 février 2014 consid. 4.1). Si l’absence de versement du salaire ou le versement partiel de celui-ci, malgré une mise en demeure, justifie une résiliation immédiate, un simple différend salarial sans gravité ne justifie pas une telle manifestation de volonté (TF 8C_606/2010 du 20 août 2010 consid. 3.2).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l’occurrence, il est constant que le recourant a résilié les rapports de travail qui le liaient à E.________ SA sans s’être assuré d’avoir un autre emploi, si bien que les deux premières conditions cumulatives entraînant une suspension du droit à l’indemnité de chômage au sens de l’art. 44 al. 1 let. b OACI sont réunies. Demeure litigieuse la question de savoir si A.________ peut se prévaloir de motifs qui rendaient la continuation des rapports de travail inexigibles. b) Le recourant fait valoir que l’emploi auprès d’E.________ SA n’était pas convenable en raison du paiement partiel et ponctuel du salaire, lequel contrevenait à la CCT applicable. Cependant, aucune pièce du dossier n’atteste d’une mise en demeure de l’employeur avant que le recourant ne démissionne de son emploi. Les échanges de messages « WhatsApp » au demeurant non traduits, ne suffisent pas. L’assuré ne démontre pas qu’il y a fixé un délai à son employeur pour le versement des salaires partiellement ou pas payés. Il n’a pas non plus réclamé de sûretés avant de démissionner. En l’absence d’une mise en demeure avant la résiliation des rapports de travail, les conditions d’une résiliation du contrat de travail fondée sur les art. 337 ou 337 a CO n’étaient donc pas réalisées, étant au demeurant observé que le recourant a résilié le contrat de travail en respectant le délai de congé. Ce n’est en effet que par courrier du 13 octobre 2022 que le recourant a mis en demeure son employeur de lui verser son salaire, à savoir au moment où l’intimée lui a demandé des renseignements concernant la résiliation des rapports de travail (cf. courrier de l’intimée du 5 octobre 2022). Aussi, il y a lieu de considérer que le recourant a quitté un emploi qui demeurait convenable et que la continuation des rapports de travail était exigible pendant le temps nécessaire à retrouver un nouvel emploi ou tout du moins le temps de mettre en demeure son employeur pour le salaire des mois de juin et juillet 2022, ce qu’il a du reste fait en date des 13 octobre, 1 er et 15 novembre 2022, soit tardivement. c) Compte tenu de ce qui précède, force est de constater qu’il n’existait aucune circonstance sérieuse qui rendait la continuation des rapports de travail inexigible. Il s’ensuit que le recourant a quitté un emploi réputé convenable au sens de l’art. 16 LACI, sans s’être assuré d’en obtenir un autre. Il s’est ainsi retrouvé au chômage par sa propre faute, s’exposant à une sanction au sens de l’art. 30 al. 1 let. a LACI. La décision attaquée doit dès lors être confirmée sur ce point.</w:t>
      </w:r>
    </w:p>
    <w:p>
      <w:r>
        <w:rPr>
          <w:b/>
        </w:rPr>
        <w:t>E. 6</w:t>
      </w:r>
    </w:p>
    <w:p>
      <w:r>
        <w:t>La suspension étant justifiée dans son principe, il reste à en examiner la quotité. a) En vertu de l’art. 30 al. 3 LACI, la durée de la suspension est proportionnelle à la gravité de la faute. Elle est de 1 à 15 jours en cas de faute légère, de 16 à 30 jours en cas de faute de gravité moyenne et de 31 à 60 jours en cas de faute grave (art. 45 al. 3 OACI).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(cf. CASSO ACH 199/18 – 86/2019 du 14 mai 2019 consid. 6a ; voir également Rubin , op. cit., n° 119 ad art. 30 LACI). Cela étant, le Tribunal fédéral a jugé que la durée de la suspension du droit à l’indemnité de chômage doit être fixée compte tenu non seulement de la faute, mais également du principe de proportionnalité et que le barème adopté par le Secrétariat d’Etat à l’économie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particulier (ATF 130 V 125 consid. 3.5). b) En l’espèce, en retenant une faute moyenne, conformément à ce que prévoit l’art. 45 al. 3 let. b OACI, et non pas une faute grave (Bulletin LACI IC D75 1.D) sanctionnant le cas de perte de travail fautive au sens de l’art. 44 al. 1 let. a OACI, la caisse intimée a qualifié la faute de manière adéquate, eu égard aux faits que l’employeur n’a pas respecté les conditions fixées par la convention collective de travail dans le versement des salaires au recourant (versements du salaire tardif, incomplets, par acompte, sans quittance) malgré les demandes de ce dernier, que le recourant avait respecté le délai de congé et qu’il avait finalement entrepris le recouvrement des créances de salaires impayées. Partant, la suspension de 23 jours, à savoir le milieu de la fourchette prévue pour une faute moyenne (art. 45 al. 3 let. b OACI), qui a été infligée au recourant n’apparaît pas critiquable ni excessive et respecte le principe de proportionnalité, de sorte qu’elle doit être confirmée.</w:t>
      </w:r>
    </w:p>
    <w:p>
      <w:r>
        <w:rPr>
          <w:b/>
        </w:rPr>
        <w:t>E. 7</w:t>
      </w:r>
    </w:p>
    <w:p>
      <w:r>
        <w:t>a) En conséquence, le recours, mal fondé, doit être rejeté et la décision entreprise confirmée. b) Il n’y a pas lieu de percevoir de frais judiciaires, la loi ne le prévoyant pas (art. 61 let. f bis LPGA), ni d’allouer de dépens, dès lors que le recourant n’obtient pas gain de cause (art. 61 let. g LPGA a contrario ). Par ces motifs, le juge unique prononce : I. Le recours est rejeté. II. La décision sur opposition rendue le 21 septembre 2023 par la Caisse de chômage X.________ est confirmée. III. Il n’est pas perçu de frais de justice ni alloué de dépens. Le juge unique :               Le greffier : Du L'arrêt qui précède est notifié à : ‑ A.________ (recourant), ‑ Caisse de chômage X.________ (intimée),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