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948 vom 2. Februar 2024</w:t>
      </w:r>
    </w:p>
    <w:p>
      <w:r>
        <w:t>VD Tribunal cantonal, 2024-02-02, FR</w:t>
      </w:r>
    </w:p>
    <w:p>
      <w:r>
        <w:rPr>
          <w:b/>
        </w:rPr>
        <w:t xml:space="preserve">Quelle: </w:t>
      </w:r>
      <w:r>
        <w:t>https://mcp.opencaselaw.ch/entscheid/vd_findinfo_Arr_t___2023___948</w:t>
      </w:r>
    </w:p>
    <w:p>
      <w:r>
        <w:t>FR: VD_FINDINFO Arrêt / 2023 / 948 du 2 février 2024</w:t>
      </w:r>
    </w:p>
    <w:p>
      <w:r>
        <w:t>IT: VD_FINDINFO Arrêt / 2023 / 948 del 2 febbraio 2024</w:t>
      </w:r>
    </w:p>
    <w:p>
      <w:pPr>
        <w:pStyle w:val="Heading2"/>
      </w:pPr>
      <w:r>
        <w:t>Regeste</w:t>
      </w:r>
    </w:p>
    <w:p>
      <w:r>
        <w:t>LIEN DE CAUSALITÉ | 16 al. 1 LAA, 6 LAA</w:t>
      </w:r>
    </w:p>
    <w:p>
      <w:pPr>
        <w:pStyle w:val="Heading2"/>
      </w:pPr>
      <w:r>
        <w:t>Erwägungen</w:t>
      </w:r>
    </w:p>
    <w:p>
      <w:r>
        <w:rPr>
          <w:b/>
        </w:rPr>
        <w:t>E. 2</w:t>
      </w:r>
    </w:p>
    <w:p>
      <w:r>
        <w:t>février 2024 __________________ Composition :               Mme Gauron-Carlin , présidente MM. Piguet, juge, et Gutmann, assesseur Greffière :              Mme Huser ***** Cause pendante entre : E.________ , à [...] ([...]), recourant, et Société d'assurances A.________ , à […], intimée. _______________ Art.</w:t>
      </w:r>
    </w:p>
    <w:p>
      <w:r>
        <w:rPr>
          <w:b/>
        </w:rPr>
        <w:t>E. 6</w:t>
      </w:r>
    </w:p>
    <w:p>
      <w:r>
        <w:t>. Le dossier étant complet et permettant à la Cour de statuer en toute connaissance de cause, un complément d’instruction apparaît inutile et la requête formulée en ce sens par le recourant – soit la mise en œuvre d’une expertise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140 I 285 consid. 6.3.1 ; 130 II 425 consid. 2.1).</w:t>
      </w:r>
    </w:p>
    <w:p>
      <w:r>
        <w:rPr>
          <w:b/>
        </w:rPr>
        <w:t>E. 7</w:t>
      </w:r>
    </w:p>
    <w:p>
      <w:r>
        <w:t>Le recourant fait encore valoir que dans l’hypothèse où l’accident ne serait plus en lien de causalité avec ses douleurs, celles-ci devraient être imputées à une maladie professionnelle. Il ressort du dossier que le recourant s’est déjà prévalu de cet argument dans le cadre de l’instruction de la procédure devant l’autorité administrative, avant même qu’il ne recourt, faisant remarquer qu’il devait porter des charges lourdes. Cependant, avec l’intimée, il faut reconnaître que le dossier déféré concerne une déclaration d’accident, qui est bel et bien survenu le 26 novembre 2021, et que si l’assuré convient qu’il devrait s’agir d’une maladie (professionnelle), il aurait dû déposer une déclaration en ce sens. Aussi, il est correct d’affirmer que la question de la requalification est étrangère à l’objet du litige.</w:t>
      </w:r>
    </w:p>
    <w:p>
      <w:r>
        <w:rPr>
          <w:b/>
        </w:rPr>
        <w:t>E. 8</w:t>
      </w:r>
    </w:p>
    <w:p>
      <w:r>
        <w:t>Manifestement mal fondé, le recours doit être rejeté, pour autant que recevable, et la décision sur opposition attaquée confirmée. Il n’y a pas lieu de percevoir de frais judiciaires (art. 61 let. f bis LPGA), ni d’allouer de dépens au recourant, qui n’obtient pas gain de cause (art. 61 let. g LPGA). Bien que l’intimée obtienne gain de cause, elle ne peut prétendre à des dépens de la part de la recourante. En effet, selon la jurisprudence, l’assureur social qui obtient gain de cause devant une juridiction de première instance n’a pas droit à des dépens, sous réserve du cas où la partie demanderesse a agi de manière téméraire ou témoigne de légèreté, ce qui n’est pas le cas en l’espèce en dépit du caractère succinct de la motivation du recours (ATF 126 V 143 consid. 4 ; voir également TF 8C_760/2008 du 30 avril 2009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