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943 vom 22. März 2024</w:t>
      </w:r>
    </w:p>
    <w:p>
      <w:r>
        <w:t>VD Tribunal cantonal, 2024-03-22, FR</w:t>
      </w:r>
    </w:p>
    <w:p>
      <w:r>
        <w:rPr>
          <w:b/>
        </w:rPr>
        <w:t xml:space="preserve">Quelle: </w:t>
      </w:r>
      <w:r>
        <w:t>https://mcp.opencaselaw.ch/entscheid/vd_findinfo_Arr_t___2023___943</w:t>
      </w:r>
    </w:p>
    <w:p>
      <w:r>
        <w:t>FR: VD_FINDINFO Arrêt / 2023 / 943 du 22 mars 2024</w:t>
      </w:r>
    </w:p>
    <w:p>
      <w:r>
        <w:t>IT: VD_FINDINFO Arrêt / 2023 / 943 del 22 marzo 2024</w:t>
      </w:r>
    </w:p>
    <w:p>
      <w:pPr>
        <w:pStyle w:val="Heading2"/>
      </w:pPr>
      <w:r>
        <w:t>Regeste</w:t>
      </w:r>
    </w:p>
    <w:p>
      <w:r>
        <w:t>NOUVELLE DEMANDE, EXPERTISE PLURIDISCIPLINAIRE, RENTE D'INVALIDITÉ, FORCE PROBANTE, REJET DE LA DEMANDE, ÉVALUATION DE L'INCAPACITÉ DE TRAVAIL, ÉVALUATION DE L'INVALIDITÉ | 28 al. 1 LAI, 28 al. 2 LAI, 4 al. 1 LAI, 16 LPGA, 17 al. 1 LPGA, 6 LPGA, 61 let. c LPGA, 7 LPGA, 8 al. 1 LPGA, 87 al. 2 RAI, 87 al. 3 RAI</w:t>
      </w:r>
    </w:p>
    <w:p>
      <w:pPr>
        <w:pStyle w:val="Heading2"/>
      </w:pPr>
      <w:r>
        <w:t>Erwägungen</w:t>
      </w:r>
    </w:p>
    <w:p>
      <w:r>
        <w:rPr>
          <w:b/>
        </w:rPr>
        <w:t>E. 3</w:t>
      </w:r>
    </w:p>
    <w:p>
      <w:r>
        <w:t>Sur le plan formel, le recourant a fait valoir qu’aucun préavis ne lui avait été donné avant que la décision de l’intimé ne soit rendue, ni aucun délai pour se déterminer sur l’expertise du 1 er avril 2020 du Centre A.________. a) L’art. 57 a LAI prévoit que l’office AI communique à l’assuré, au moyen d’un préavis, toute décision finale qu’il entend prendre au sujet d’une demande de prestations ou au sujet de la suppression ou de la réduction d’une prestation déjà allouée (première phrase). L’assuré a le droit d’être entendu, conformément à l’art. 42 LPGA (deuxième phrase). En l’espèce, force est de constater que l’OAI a communiqué à l’assuré un projet de décision en date du 30 août 2018, sur lequel l’intéressé a eu l’occasion de se déterminer (cf. courrier de l’assuré du 31 octobre 2018). Ce faisant, l’office a donc satisfait à la procédure visée par l’art. 57 a LAI, quoi qu’en dise le recourant. Sous cet angle, le grief formulé n’est donc pas fondé. b) aa) S’agissant du reproche formulé par le recourant quant à l’absence de délai pour se déterminer sur l’expertise du 1 er avril 2020, ce grief se rapporte à la garantie constitutionnelle du droit d’être entendu.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Une condition nécessaire du droit de consulter le dossier est que l’autorité, lorsqu’elle verse au dossier de nouvelles pièces dont elle entend se prévaloir dans sa décision, soit tenue d’en aviser les parties (ATF 143 IV 380 consid. 1.1 ; 132 V 387 consid. 3.1). Les parties doivent ainsi être informées lorsque de nouvelles pièces essentielles, qu’elles ne connaissent pas et ne peuvent pas non plus connaître, sont ajoutées au dossier (ATF 146 III 97 consid. 3.4.1 ; 132 V 387 consid. 6.2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bb) En l’espèce, une copie du dossier a été transmise au représentant du recourant par courrier du 6 avril 2020, soit plus d’un mois avant que la décision du 11 mai 2020 ne soit rendue. Il était ainsi tout à fait loisible au conseil de se déterminer ou de demander à le faire. Cela étant, le recourant s’est largement exprimé sur l’expertise pendant la procédure de recours devant la Cour de céans qui jouit d’un plein pouvoir d’examen pour statuer, le recours selon les art. 56 ss LPGA étant un moyen de droit complet permettant un examen de la décision entreprise en fait et en droit (TF 9C_205/2013 du 1er octobre 2013 consid. 1.3 et la référence citée). Sur ce plan, la violation alléguée du droit d’être entendu doit ainsi être considérée comme guérie devant la présente juridiction et le grief du recourant rejeté.</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d)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f)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titre liminaire, il convient de traiter le grief du recourant s’agissant des compétences des experts W.________ et B.________ qu’il remet en cause du fait de leur formation médicale française. Selon lui, ce cursus n’offrirait pas de formation relative à la notion d’invalidité du droit suisse. En l’occurrence, le Dr W.________ a obtenu les titres de médecin puis de médecin praticien en France. Ces titres ont tous deux été reconnus en Suisse en 2016 et 2019, selon le Registre des professions médicales. Le Dr B.________ a quant à lui obtenu le titre de médecin, puis le titre de spécialiste en rhumatologie en France, titres qui ont été reconnus en Suisse en 2016. Leurs compétences professionnelles ont ainsi été reconnues en Suisse, et conformément à la jurisprudence, le seul fait que ces médecins aient effectué leur cursus à l’étranger n’affecte pas la valeur probante de leurs avis, une formation spécialisée pouvant également être effectuée à l’étranger (TF 8C_606/2016 du 13 décembre 2016 consid. 4.3 et les références citées). En outre, ils disposent d’une autorisation de pratiquer en Suisse. Les critiques du recourant sur ce point tombent donc à faux.</w:t>
      </w:r>
    </w:p>
    <w:p>
      <w:r>
        <w:rPr>
          <w:b/>
        </w:rPr>
        <w:t>E. 7</w:t>
      </w:r>
    </w:p>
    <w:p>
      <w:r>
        <w:t>Ensuite, on constatera que l’intimé est entré en matière sur la seconde demande de prestations déposée le 7 avril 2017 par le recourant. Il convient par conséquent d’examiner si, entre la dernière décision du 14 mai 2013 entrée en force et la décision litigieuse du 11 mai 2020, l’état de santé du recourant s’est modifié de façon à influencer son droit à des prestations de l’assurance-invalidité. a) La décision de refus de prestations du 14 mai 2013 s’était notamment fondée sur un rapport final du 22 novembre 2012 et des avis du SMR des 19 octobre 2007 et 9 février 2012 qui concluaient à une capacité de travail dans l’activité habituelle de 30 % et de 100 % dans une activité adaptée depuis le 2 août 2004 avec une baisse de rendement de 10 %, ainsi que sur l’examen clinique rhumato-psychiatrique effectué le 1 er octobre 2007 par les Drs Z.________ et D.________ qui avaient posé le diagnostic avec répercussion sur la capacité de travail de rachialgies communes (M54.9) et constaté une situation psychosociale difficile (Z60.8). La décision de refus n’a pas fait l’objet d’un recours et elle est entrée en force. b) Le recourant a déposé une seconde demande de prestations le 7 avril 2017 en faisant valoir une aggravation de son état de santé notamment en lien avec des problèmes de dos, d’épaule gauche, aux bras et à la nuque et des migraines. En se basant sur les rapports des Drs R.________ (cf. rapports des 1 er mars, 21 avril et 18 juillet 2017), F.________ (cf. rapports des 14 et 20 février et 27 avril 2017) et L.________ (cf. rapports des 28 février et 9 mai 2017), le SMR a conclu que le recourant présentait une aggravation de son état de santé en lien avec l’atteinte du membre supérieur gauche justifiant des limitations fonctionnelles durables mais sans atteinte incapacitante sur le plan psychique (cf. avis du 16 mai 2018). Suivant l’avis du SMR, l’OAI a rendu un projet de décision le 30 août 2018 dans lequel il a retenu que si la capacité de travail était nulle dans l’activité habituelle, elle était cependant totale dans une activité adaptée avec une diminution de rendement de 10 % depuis le mois de février 2017. Le recourant a contesté ce projet de décision et a présenté un rapport du Dr L.________ du 10 octobre 2018 dont le SMR a estimé qu’il n’était pas susceptible de remettre en cause les conclusions de l’OAI (cf. avis du 23 novembre 2018). A la suite des différents rapports produits, notamment ceux du Dr L.________ du 5 décembre 2018, du Dr T.________ des 21 décembre 2018 et 18 mars 2019 et de la Dre Y.________ du 24 juillet 2019, le SMR a préconisé la mise en œuvre d’une expertise pluridisciplinaire comprenant un volet de médecine interne, de rhumatologie et de psychiatrie (cf. avis du 25 octobre 2019). Les experts du Centre A.________ ont rendu un rapport le 1 er avril 2020 qui a servi de fondement à l’intimé pour rendre sa décision du 11 mai 2020. S’il est constant que le recourant ne dispose plus d’aucune capacité de travail dans son activité habituelle depuis le mois de décembre 2016, ce qu’il n’a d’ailleurs pas contesté, il a cependant remis en cause la valeur probante de cette expertise s’agissant de l’évaluation de sa capacité de travail dans une activité adaptée fixée à 90 % (à savoir 100 % avec une baisse de rendement de 10 %), celle-ci devant être fixée, selon lui, à 50 % maximum. Ainsi, il convient d’examiner la valeur probante du rapport d’expertise du Centre A.________ du 1 er avril 2020 à l’égard duquel le recourant a formulé un certain nombre de critiques relatives à des motifs internes à l’expertise. aa) Le recourant a notamment fait valoir que l’expertise comportait de nombreuses erreurs, notamment que la date de son accident n’était pas le 1 er juillet 1991 mais le 6 avril 1991, qu’il avait été licencié le 6 mars 2017 avec effet au 6 juin 2017 et non en décembre 2016, qu’une capacité de conduite sur de longues distances avait été retenue à tort ainsi qu’une aide apportée à son père plus étendue qu’elle ne l’était en réalité et qu’enfin il n’avait pas contesté le projet de décision du 30 août 2018 pour des raisons psychologiques mais somatiques. On peut déjà relever le fait que le recourant s’est rendu en voiture aux examens cliniques, soit un trajet de presque une heure sans que cela n’engendre de problème (cf. pp. 11 et 28 de l’expertise). Ensuite, les autres points signalés par le recourant concernent des détails qui ne sont pas susceptibles d’avoir un impact sur le résultat de l’examen, le recourant n’exposant pour le surplus pas en quoi les inexactitudes mentionnées auraient amené les experts à prendre des conclusions erronées sur le plan médical. Aussi, ces critiques ne sauraient remettre en cause la valeur probante du rapport d’expertise du 1 er avril 2020 qui satisfait en outre, sur le plan formel, aux réquisits auxquels la jurisprudence soumet la valeur de tels documents, ce que le SMR a du reste constaté dans son avis du 8 mai 2020. En effet, les experts ont tous individuellement rencontré le recourant et rédigé un rapport détaillé, puis confronté leurs conclusions au cours d’une conférence de consensus du 12 février 2020 en présence de tous les experts qui a fait l’objet d’un rapport de synthèse dans lequel ils ont consensuellement évalué l’état de santé, la capacité de travail et les limitations fonctionnelles du recourant. Les experts ont fondé leur appréciation sur le dossier médical du recourant, lequel a été intégralement examiné et complété par des analyses sanguines, dont ils ont joint les résultats à leur rapport. Chaque expertise spécialisée reprend la même structure et contient en premier lieu une anamnèse étendue établie par l’expert sur la base de son entretien avec le recourant qu’ils ont notamment interrogé sur ses antécédents médicaux, ses plaintes et ses habitudes de vie (activités quotidiennes ou déroulement d’une journée habituelle) (ch. 3). Ils ont ensuite protocolé les constatations faites à l’occasion de leur examen respectif (ch. 4) et posé leurs diagnostics (ch. 6). Ils ont donné leur évaluation de la situation médicale et médicale-assurantielle, incluant une évaluation de la cohérence et de la plausibilité, ainsi qu’une appréciation des capacités, des ressources et des difficultés du recourant (ch. 7) avant de répondre aux questions du mandant (ch. 8). bb) Le recourant a encore fait état d’un manque de motivation de l’expertise, de l’existence d’importantes contradictions et de l’absence d’éléments importants. S’agissant de l’expertise de médecine interne, il a d’abord fait valoir que l’examen clinique avait été réalisé le 5 février 2020, soit après avoir été alité pendant un mois à la suite d’une opération pour des hernies réalisées le 10 janvier 2020. On ne voit pas en quoi cette période d’alitement aurait pu avoir une influence sur l’examen clinique, ce que le recourant n’a par ailleurs pas démontré, se contentant d’indiquer qu’il n’était pas « exclu » que les constatations cliniques aient été influencées par cette période. Ensuite, le recourant a allégué que le Dr W.________ n’avait pas motivé les raisons pour lesquelles il avait omis de retenir les diagnostics de syndrome fémoro-patellaire du genou droit, de névralgie cervico-brachiale gauche C8-D1 sur trouble dégénératif, de douleur lombaire sans irradiation sur trouble dégénératif et les douleurs d’épaule gauche sur arthropathie acromio-claviculaire. Or, il faut constater que ces diagnostics ont été retenus par l’expert rhumatologue (cf. p. 30 du rapport d’expertise du 1 er avril 2020). Le Dr W.________ n’ayant posé aucun diagnostic avec influence sur la capacité de travail, c’est ainsi à juste titre qu’il a retenu qu’il n’y avait pas de pathologie pouvant retentir sur la capacité de travail et que celle-ci était totale dans tous les types d’activité, hormis lors des opérations de parathyroïde (du 10 au 24 octobre 2011) et d’hernies (du 10 janvier au 4 février 2020). Quant à l’expert rhumatologue, il a retenu les diagnostics de syndrome fémoro-patellaire du genou droit, de névralgie cervico-brachiale gauche C8-D1 sur trouble dégénératif, de douleur lombaire sans irradiation sur trouble dégénératif et de douleurs d’épaule gauche sur arthropathie acromio-claviculaire. Pour cet expert, la capacité de travail était nulle dans l’activité habituelle depuis décembre 2016 et de 90 % dans une activité adaptée dès septembre 2016, à l’exception d’une période allant du 9 mars 2016 (date de l’accident du genou) au 31 août 2016 (six semaines après l’arthroscopie). cc) Le recourant a encore allégué que l’expertise réalisée par l’experte M.________ ne respectait pas les exigences imposées par la jurisprudence dès lors qu’elle n’utilisait pas la grille normative et structurée de l’ATF 141 V 281 et ne se déterminait pas au moyen des indicateurs déterminants. Il y a cependant lieu de constater que l’experte M.________ a examiné à satisfaction de droit les indicateurs idoines dans l’expertise. En effet, elle a évalué les évolutions des traitements, des mesures de réadaptation et des chances de guérison, la cohérence et la plausibilité ainsi que les capacités, ressources et difficultés du recourant (p. 14 de l’expertise). Afin d’apprécier la cohérence entre l’analyse du degré de gravité fonctionnel et la répercussion de l’atteinte dans les différents domaines de la vie, elle a également recueilli le déroulement d’une journée type du recourant et son anamnèse sociale (pp. 10 et 11 de l’expertise). On relèvera ici que le rapport d’expertise de la Dre M.________ n’est pas remis en cause par les rapports des 24 juillet 2019, 28 février et 23 avril 2020 de la Dre Y.________. En effet, la Dre Y.________ a expliqué que le diagnostic de trouble dépressif récurrent qu’elle avait retenu était une conséquence des années de souffrance somatiques, ce que l’experte M.________ a également relevé en retenant le diagnostic de trouble anxieux et dépressif mixte présent sous forme chronicisée depuis 2017 à la suite de l’accumulation de plusieurs problèmes (p.</w:t>
      </w:r>
    </w:p>
    <w:p>
      <w:r>
        <w:rPr>
          <w:b/>
        </w:rPr>
        <w:t>E. 12</w:t>
      </w:r>
    </w:p>
    <w:p>
      <w:r>
        <w:t>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