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89 vom 20. März 2023</w:t>
      </w:r>
    </w:p>
    <w:p>
      <w:r>
        <w:t>VD Tribunal cantonal, 2023-03-20, FR</w:t>
      </w:r>
    </w:p>
    <w:p>
      <w:r>
        <w:rPr>
          <w:b/>
        </w:rPr>
        <w:t xml:space="preserve">Quelle: </w:t>
      </w:r>
      <w:r>
        <w:t>https://mcp.opencaselaw.ch/entscheid/vd_findinfo_Arr_t___2023___89</w:t>
      </w:r>
    </w:p>
    <w:p>
      <w:r>
        <w:t>FR: VD_FINDINFO Arrêt / 2023 / 89 du 20 mars 2023</w:t>
      </w:r>
    </w:p>
    <w:p>
      <w:r>
        <w:t>IT: VD_FINDINFO Arrêt / 2023 / 89 del 20 marzo 2023</w:t>
      </w:r>
    </w:p>
    <w:p>
      <w:pPr>
        <w:pStyle w:val="Heading2"/>
      </w:pPr>
      <w:r>
        <w:t>Regeste</w:t>
      </w:r>
    </w:p>
    <w:p>
      <w:r>
        <w:t>DÉLAI-CADRE, LIBÉRATION DES CONDITIONS POUR LA PÉRIODE DE COTISATION, PÉRIODE DE COTISATION{AC}, DURÉE DE COTISATION, INDEMNITÉ DE CHÔMAGE, ENSEIGNEMENT À DISTANCE, FORMATION{EN GÉNÉRAL} | 13 al. 1 LACI, 14 al. 1 let. a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l’indemnité de chômage dès le 19 juin 2022, en particulier sur le point de savoir si celui-ci peut être libéré des conditions relatives à la période de cotisation.</w:t>
      </w:r>
    </w:p>
    <w:p>
      <w:r>
        <w:rPr>
          <w:b/>
        </w:rPr>
        <w:t>E. 3</w:t>
      </w:r>
    </w:p>
    <w:p>
      <w:r>
        <w:t>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Selon l’art. 9 LACI, les délais-cadre de cotisation et d’indemnisation sont de deux ans, sauf disposition contraire de la loi (al. 1). Ils commencent à courir deux ans avant le premier jour où toutes les conditions dont dépend le droit à l’indemnité sont réunies (al. 2 et 3). Dans les limites du délai-cadre d’indemnisation, l’assuré a droit à 400 indemnités journalières au plus s’il justifie d’une période de cotisation de 18 mois au total (art. 27 LACI). En raison des dispositions édictées pour tenir compte de l’épidémie de COVID-19 dans le domaine de l’assurance-chômage, des indemnités journalières supplémentaires ont été allouées entre les mois de mars et août 2020 puis de mars et mai 2021 ; les délais-cadre d’indemnisation et de cotisation des assurés concernés ont été prolongés de la même durée (cf. art. 17 de la loi COVID-19 et art. 8 de l’ordonnance COVID-19 assurance-chômage). b) Satisfait aux conditions relatives à la période de cotisation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L’art. 14 LACI, qui traite de la libération des conditions relatives à la période de cotisation, est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 personne assurée est libérée des conditions relatives à la période de cotisation et inversement (ATF 141 V 674 consid. 4 ; TF 8C_645/2014 du 3 juillet 2015 consid. 1.2). c) Selon l’art. 14 al. 3 LACI, les ressortissants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Sont également libérées des conditions relatives à la période de cotisation les personnes qui, dans les limites de leur délai-cadre de cotisation (art. 9 al. 3 LACI) et pendant plus de douze mois au total, n’étaient pas partie à un rapport de travail et, partant, n’ont pu remplir les conditions relatives à la période de cotisation parce qu’elles suivaient une formation scolaire, une reconversion ou un perfectionnement professionnel, à la condition qu’elles aient été domiciliées en Suisse pendant dix ans au moins (art. 14 al. 1 let. a LACI). L’art. 14 al. 1 let. a LACI fixe exhaustivement les motifs de libération des conditions relatives à la période de cotisation, soit les exceptions au principe de la durée minimale de cotisation, lesquels doivent être interprétés de manière restrictive (TF 8C_415/2012 du 21 février 2013 consid. 2.2 ; voir également Boris Rubin, Commentaire de la loi sur l’assurance-chômage, Genève/Zurich/Bâle 2014, N 1 ad art. 14 LACI). d) Est réputée formation au sens de l’art. 14 al. 1 let. a LACI toute préparation à une activité lucrative future fondée sur un cycle de formation (usuel) réglementaire, reconnu juridiquement ou, à tout le moins, de fait (ATF 122 V 43 consid. 3c/aa). La formation doit être destinée à garantir une indépendance économique à la personne concernée et non uniquement à satisfaire un intérêt personnel ou scientifique sans but professionnel précis (TF 8C_418/2016 du 15 novembre 2016). Par ailleurs, la formation doit être d’une ampleur telle qu’elle ne permet pas l’exercice d’une activité lucrative en parallèle (TF 8C_796/2014 du 21 avril 2015 consid. 4.2). Le moment de la fin de la formation est celui de la communication de la réussite de l’examen final (TF 8C_418/2016 précité consid. 3.3 et TF 8C_312/2008 du 8 avril 2009 consid. 4.3). Il doit exister un lien de causalité entre les motifs de libération énumérés à l’art. 14 al. 1 LACI et l’absence d’une durée minimale de cotisation (ATF 131 V 279 consid. 1.2 ; TF 8C_232/2021 du 8 juin 2021 consid. 3.2). Le lien de causalité requis n’existe que si, pour l’un des motifs dont il est question, il n’était pas possible, ou pas raisonnablement exigible de la part de la personne assurée d’exercer une activité soumise à cotisation, y compris à temps partiel (ATF 141 V 625 consid. 2 ; TF 8C_232/2021 du 8 juin 2021 consid. 3.2 ; TF 8C_327/2019 du 5 mai 2020 consid. 3.2).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rPr>
          <w:b/>
        </w:rPr>
        <w:t>E. 5</w:t>
      </w:r>
    </w:p>
    <w:p>
      <w:r>
        <w:t>a) En l’espèce, il n’est pas contesté que le recourant ne peut ni se prévaloir d’une période de cotisation selon l’art. 13 LACI ni d’une libération des conditions relatives à celle-ci pour cause de séjour de plus d’un an à l’étranger au sens de l’art. 14 al. 3 LACI, faute d’avoir exercé une activité salariée en Suisse durant le délai-cadre de cotisation. b) Reste à déterminer si le recourant peut se prévaloir d’un motif de libération des conditions relatives à la période de cotisation, au sens de l’art. 14 al. 1 let. a LACI, eu égard à la formation qu’il a suivie durant ce délai-cadre. Tout d’abord, il convient de considérer à l’instar du recourant que son cursus de Bachelor en économie et management constitue bien une formation au sens de l’art. 14 al. 1 let. a LACI. En effet, UniDistance est un institut universitaire reconnu par le Secrétariat d’Etat à la formation, à la recherche et à l’innovation dans le domaine suisse des hautes écoles selon la LEHE. Cet institut est partant accrédité par la Confédération pour délivrer des diplômes universitaires reconnus au même titre que ceux des universités dites classiques. Il ressort en outre des pièces produites par le recourant que ce cursus complet comportait dix-huit modules, accessibles via l’outil d’enseignement à distance Moodle, répartis sur neuf semestres et sanctionnés par des examens à dates fixes. La charge de travail globale de chaque enseignement était déterminée à l’avance et mesurée sous forme de crédits ECTS ( European Credits Transfer System ), système également utilisé dans les hautes écoles traditionnelles et correspondant au système de Bologne. Dans ces circonstances, le seul caractère d’enseignement à distance de cette formation ne suffit pas à la qualifier « d’autoformation », dont le contenu échapperait à tout contrôle par les instances de l’assurance-chômage. Partant, cette formation remplit toutes les caractéristiques permettant sa reconnaissance par les organes d’exécution de l’assurance-chômage (cf. consid. 3d ci-dessus). Cela étant, il y a lieu de constater que cette formation n’empêchait pas le recourant d’exercer une activité lucrative parallèle, au moins à temps partiel, durant le délai-cadre de cotisation. Le recourant admet en effet cette possibilité, puisqu’il allègue au stade de l’opposition déjà qu’il demeurait apte au placement en raison des horaires flexibles de sa formation. Il rappelle également que le statut et l’enseignement auprès d’UniDistance sont identiques à ceux des universités classiques en Suisse, sous réserve de cette flexibilité et de la durée prolongée de la formation jusqu’à l’obtention du diplôme choisi. Il souligne enfin que cette forme d’enseignement convient tout particulièrement aux personnes déjà en emploi à plein temps ou aux sportifs professionnels. Cette faculté théorique d’exercer une activité lucrative en parallèle à ses études a d’ailleurs été corroborée par son emploi à l’étranger en qualité de [...] professionnel, à temps plein, au cours de cette période. Aussi, le recourant n’a pas démontré avoir été empêché de cotiser pendant plus de douze mois en raison de sa formation. A défaut d’avoir établi l’existence de ce lien de causalité nécessaire, il ne peut par conséquent pas non plus se prévaloir d’un motif de libération au sens de l’art. 14 al. 1 let. a LACI. c) Au vu de ce qui précède, c’est à juste titre que l’intimée a retenu que le recourant ne pouvait pas être libéré des conditions relatives à la période de cotisation et lui a nié le droit à l’indemnité de chômage.</w:t>
      </w:r>
    </w:p>
    <w:p>
      <w:r>
        <w:rPr>
          <w:b/>
        </w:rPr>
        <w:t>E. 6</w:t>
      </w:r>
    </w:p>
    <w:p>
      <w:r>
        <w:t>a) En conclusion, le recours doit être rejeté et la décision sur opposition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