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858 vom 29. Januar 2024</w:t>
      </w:r>
    </w:p>
    <w:p>
      <w:r>
        <w:t>VD Tribunal cantonal, 2024-01-29, FR</w:t>
      </w:r>
    </w:p>
    <w:p>
      <w:r>
        <w:rPr>
          <w:b/>
        </w:rPr>
        <w:t xml:space="preserve">Quelle: </w:t>
      </w:r>
      <w:r>
        <w:t>https://mcp.opencaselaw.ch/entscheid/vd_findinfo_Arr_t___2023___858</w:t>
      </w:r>
    </w:p>
    <w:p>
      <w:r>
        <w:t>FR: VD_FINDINFO Arrêt / 2023 / 858 du 29 janvier 2024</w:t>
      </w:r>
    </w:p>
    <w:p>
      <w:r>
        <w:t>IT: VD_FINDINFO Arrêt / 2023 / 858 del 29 gennaio 2024</w:t>
      </w:r>
    </w:p>
    <w:p>
      <w:pPr>
        <w:pStyle w:val="Heading2"/>
      </w:pPr>
      <w:r>
        <w:t>Regeste</w:t>
      </w:r>
    </w:p>
    <w:p>
      <w:r>
        <w:t>AGGRAVATION DE L'ATTEINTE À LA SANTÉ, ATTEINTE À LA SANTÉ PSYCHIQUE, OTO-RHINO-LARYNGOLOGIE, ÉVALUATION DE L'INVALIDITÉ, RENTE D'INVALIDITÉ, EXPERTISE MÉDICALE, FORCE PROBANTE, REJET DE LA DEMANDE | 28 al. 1 LAI, 16 LPGA, 87 al. 2 RAI, 87 al. 3 RAI</w:t>
      </w:r>
    </w:p>
    <w:p>
      <w:pPr>
        <w:pStyle w:val="Heading2"/>
      </w:pPr>
      <w:r>
        <w:t>Erwägungen</w:t>
      </w:r>
    </w:p>
    <w:p>
      <w:r>
        <w:rPr>
          <w:b/>
        </w:rPr>
        <w:t>E. 2</w:t>
      </w:r>
    </w:p>
    <w:p>
      <w:r>
        <w:t>Le litige porte sur le droit du recourant à des prestations de l’assurance-invalidité à la suite de sa deuxième demande, déposée le 9 avril 2019, sur laquelle l’OAI est entré en matière.</w:t>
      </w:r>
    </w:p>
    <w:p>
      <w:r>
        <w:rPr>
          <w:b/>
        </w:rPr>
        <w:t>E. 3</w:t>
      </w:r>
    </w:p>
    <w:p>
      <w:r>
        <w:t>Dans le cadre du « développement continu de l'AI », la LAI, le RAI (règlement du 17 janvier 1961 sur l’assurance-invalidité ; RS 831.201) et la LPGA – notamment – ont été modifiés avec effet au 1 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C’est ainsi à l’ancien droit qu’il est fait référence au sein du présent arrêt.</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4.4</w:t>
      </w:r>
    </w:p>
    <w:p>
      <w:r>
        <w:t>et les références citées).</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b)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cette dernière, ainsi le soutien dont elle bénéficie dans son réseau social (ATF 141 V 281 consid. 4.3 et les références).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w:t>
      </w:r>
    </w:p>
    <w:p>
      <w:r>
        <w:rPr>
          <w:b/>
        </w:rPr>
        <w:t>E. 6</w:t>
      </w:r>
    </w:p>
    <w:p>
      <w:r>
        <w:t>Lorsque l’octroi d’une rente a été refusé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w:t>
      </w:r>
    </w:p>
    <w:p>
      <w:r>
        <w:rPr>
          <w:b/>
        </w:rPr>
        <w:t>E. 7</w:t>
      </w:r>
    </w:p>
    <w:p>
      <w:r>
        <w:t>En l’espèce, il convient de déterminer si l’état de santé du recourant s’est péjoré, dans une mesure susceptible de modifier l’exigibilité de l’exercice d’une activité adaptée et de justifier l’octroi de prestations de l’assurance-invalidité, depuis la précédente décision au fond, datée du 4 novembre 2010. Il est établi qu’à cette époque, le recourant a présenté une invalidité en lien avec son atteinte ORL, lui donnant droit à une rente d’invalidité limitée dans le temps du 1 er décembre 2008 au 30 avril 2009. Dès le mois de janvier 2009, le recourant avait recouvré une capacité de travail de 95 % dans une activité adaptée. L’intimé avait alors mis un terme à la rente entière d’invalidité, trois mois plus tard, décision qui n’avait pas été contestée et qui est entrée en force et définitive. Les limitations fonctionnelles retenues étaient le travail en hauteur sur échelles ou échafaudages, en position instable, les mouvements brusques, répétitifs, de forte amplitude du tronc et de la tête, l’exposition au bruit, le travail dans l’obscurité et la conduite de véhicules lourds. La deuxième demande du recourant étant datée du 9 avril 2019, son droit éventuel à une rente d’invalidité, basée sur l’incapacité de travail attestée depuis le 11 décembre 2017, ne pourrait naître qu’à partir du mois d’octobre 2019 (délai d’attente procédural de six mois de l’art. 29 al. 1 et 3 LAI cum art. 29 al.1 LPGA). Le recourant requiert l’octroi de prestations de l’assurance-invalidité essentiellement en lien avec la péjoration de sa santé psychique, c’est-à-dire avec une nouvelle atteinte invalidante, puisqu’à l’époque de la décision initiale, aucune atteinte invalidante de ce registre n’avait été retenue. De plus, il a fait valoir en procédure judiciaire que son atteinte ORL pourrait s’être péjorée, respectivement avoir des effets néfastes sur sa santé psychique. Il reproche à l’intimé de lui avoir reconnu un degré d’invalidité de 19 %, nonobstant ses atteintes à la santé, lesquelles lui causeraient une incapacité de travail totale, de longue date et pour une durée indéterminée. Il conteste en second lieu le taux d’abattement de 5 %. Il est d’emblée constaté que l’inexigibilité de l’activité habituelle du recourant ne fait en réalité pas débat. La décision entreprise est motivée par la capacité de travail du recourant dans une activité adaptée et non dans son activité habituelle (que ce soit dans le domaine de la construction ou d’agent de sécurité en discothèque). Ce point est manifestement basé sur l’avis du SMR du 24 juin 2020, qui rappelle que le recourant est reconnu incapable d’exercer son activité habituelle depuis le 2 décembre 2008, ceci en raison de son atteinte somatique ORL et des limitations qui en découlent. Il ne se justifie dès lors pas d’examiner plus avant cet aspect. En particulier, l’affirmation de la Dre J.________ selon laquelle le recourant pourrait reprendre un travail d’agent de sécurité, du point de vue strictement psychique, n’est pas déterminante. On précisera tout de même que la profession d’agent de sécurité ne se cantonne pas aux discothèques ou endroits fréquentés.</w:t>
      </w:r>
    </w:p>
    <w:p>
      <w:r>
        <w:rPr>
          <w:b/>
        </w:rPr>
        <w:t>E. 8</w:t>
      </w:r>
    </w:p>
    <w:p>
      <w:r>
        <w:t>Pour rendre la décision entreprise, l’intimé s’est fondé essentiellement sur le rapport d’expertise psychiatrique de la Dre J.________ du 15 juin 2020, ainsi que sur l’avis du SMR du 24 juin 2020. Il s’agit dès lors d’examiner la valeur probante de cette expertise, notamment à l’aune des critères jurisprudentiels idoines. a) Sur le plan formel tout d’abord, le recourant fait grief à la durée de l’entretien d’expertise, qui s’est déroulé en une seule séance de 3 heures et 15 minutes. On rappellera que la durée de l’examen d’expertise ou le nombre de séances n’est pas, en soi, un critère de la valeur probante d’un rapport médical (TF 9C_457/2021 du 13 avril 2022 consid. 6.2 ; 9C_542/2020 du 16 décembre 2020 consid. 7.4 et les références). Cette critique ne saurait remettre en question la valeur du travail de l’experte, dont le rôle consistait à porter un jugement sur son état de santé dans un délai relativement bref (idem). Par ailleurs, le recourant n’évoque pas d’éléments sur lesquels il n’aurait pas été en mesure de s’exprimer, ni ne formule d’autre critique précise, de sorte que cette seule affirmation ne saurait faire douter de la valeur probante dont il est question. Le grief doit être écarté. b) Sur le fond, l’expertise de la Dre J.________ réunit tous les réquisits jurisprudentiels pour se voir reconnaître une pleine valeur probante. Il ressort du rapport du 15 juin 2020 que l’experte a établi le contexte médical du recourant, puisqu’elle a synthétisé les rapports médicaux, en particulier psychiatriques, depuis décembre 2007. Elle a retracé l’évolution des incapacités de travail attestées par les différents médecins depuis le 2 décembre 2007. Elle a établi l’anamnèse familiale, professionnelle, sociale, psychiatrique, somatique et assécurologique de manière détaillée et en différenciant ses remarques basées sur le dossier, des informations recueillies lors de l’entretien. Elle a procédé à l’examen psychiatrique clinique, personnellement et conformément à sa spécialité. Elle a retracé le déroulement du quotidien du recourant, ses traitements antérieurs et actuels. Elle a rapporté ses plaintes. Elle a mis en œuvre des analyses de laboratoire et interprété leurs résultats (hématologie, chimie clinique, médicaments, produit d’addiction, fonction thyroïdienne). Elle a effectué des tests psychométriques (autoévaluation de la dépression de Beck, échelle d’évaluation de la dépression d’Hamilton, échelle d’appréciation de l’anxiété d’Hamilton). Elle a listé les diagnostics retenus antérieurement, ainsi que ceux qu’elle retenait actuellement. Elle a ensuite formulé ses observations et constatations et en a tiré son appréciation, cohérente et motivée. Elle a enfin répondu aux questions posées par l’OAI. Il n’y a pas de lacune dans ce travail d’expertise. En particulier, la Dre J.________ a examiné les indicateurs jurisprudentiels. On précisera néanmoins à cet égard que cette analyse n’était pas strictement nécessaire, ou du moins que le niveau d’exigence d’évaluation des indicateurs doit être relativisé en l’espèce. En effet, l’experte n’a retenu qu’un seul véritable diagnostic, à savoir un trouble anxieux et dépressif mixte de degré léger (F41.2), puisque les autres problèmes retenus, codifiés sous la lettre Z de la classification CIM-10, correspondent à des facteurs qui influencent l'état de santé et entraînent le recours aux soins de santé. Ces éléments ne relèvent pas en tant que tels de la notion d'atteinte à la santé ayant une portée juridique (SVR 2012 IV n° 52 p. 188 consid. 3.1 [TF 9C_537/2011]) et ne constituent donc pas une atteinte à la santé invalidante, ni d'emblée une comorbidité. Or, en l’état de la jurisprudence fédérale, un trouble anxieux et dépressif de degré léger, sans interférence notable avec des comorbidités psychiatriques ne peut généralement pas être défini comme une maladie mentale grave, et partant, comme une atteinte invalidante (ATF 148 V 49 consid. 6.2.2). Quoi qu’il en soit, la Dre J.________ a apprécié les ressources et les limitations du recourant. S’agissant de l’évaluation de la cohérence et de la plausibilité, ainsi que de l’appréciation des capacités, ressources et difficultés (chap. 7.3 et 7.4 pp 21-22 du rapport), l’experte a certes indiqué qu’elle manquait d’éléments anamnestiques actuels, compte tenu de la récente sortie de prison du recourant, qui impliquait que son discours n’était possiblement pas complètement représentatif. Toutefois, cette précision tend au contraire à crédibiliser l’appréciation de l’experte. Il ressort du rapport que le fonctionnement du recourant n’a en réalité pas subi de modification déterminante, de longue date. L’experte relate qu’il présente une limitation relativement uniforme dans tous les domaines de la vie, qu’il est peu adapté aux règles et aux routines, de longue date, qu’il ne planifie ni ne structure ses tâches, qu’il est peu flexible, a peu de capacité d’adaptation, pas de compétence spécifique, peu d’aptitude à évoluer au sein d’un groupe, etc. En revanche, il entretient de bonnes relations avec deux de ses enfants, qu’il voit régulièrement, et avec sa famille au [...]. Il ne semble pas que le séjour en prison du recourant ait modifié ses ressources ou son niveau d’activité sociale, par rapport à avant son incarcération. Le recourant ne le prétend d’ailleurs pas et ne l’a pas affirmé lors de l’expertise. On ne voit dès lors pas de motif de retenir que l’anamnèse établie par la Dre J.________, quelques jours après la libération du recourant, ne lui aurait pas permis d’apprécier la situation psychiatrique de manière probante. Il n’y a du reste aucun élément médical au dossier qui soutiendrait cette hypothèse, formulée par le recourant, qu’il y a donc lieu d’écarter. Le recourant reproche encore à l’experte d’avoir retenu une atteinte à la santé de degré léger, en citant l’échelle d’évaluation de la dépression et de l’anxiété d’Hamilton. Selon lui, dès lors que cette échelle fait intervenir un élément subjectif, à savoir le point de vue de l’expert pour le choix des items, cet examen, par nature, pouvait s’en trouver biaisé. Il aurait été nécessaire que l’experte cite les différents items et motive ses choix à cet égard, afin d’objectiver son évaluation. Ce d’autant plus que le recourant avait également été soumis à l’évaluation de la dépression de Beck, une méthode d’auto-évaluation, et qu’il obtenait alors un score de 38, correspondant à une dépression de degré sévère. En l’occurrence, l’experte a mentionné et exposé les résultats de ces tests psychométriques effectués (pp 18-19 du rapport) avant de poser et d’expliquer son diagnostic (p. 19). Il s’agit en réalité d’instruments complémentaires à ses constatations. Il n’y a pas de choix des items. On rappellera en sus que l’administration, puis le juge, se fonde sur des documents médicaux pour fixer le degré d’invalidité (cf. consid. 4c supra ). Ainsi, les griefs d’ordre médical du recourant, qui ne sont pas corroborés par des pièces médicales, comme c’est le cas de cette critique des tests psychométriques, ne sauraient en l’espèce remettre en cause la valeur probante de l’expertise. c) S’agissant des appréciations des médecins traitants du recourant, les remarques suivantes s’imposent. Les rapports de la P.________ postérieurs à la décision entreprise sont irrecevables, dans la mesure où ils concernent une situation postérieure à l’état de fait déterminant (ATF 144 V 210 consid. 4.3.1 ; ATF 99 V 98 consid. 4 ; TF 8C_239/2020 du 19 avril 2021 consid. 7.2.1). Les rapports des 5 mai et 4 juin 2021 ne peuvent être pris en compte que relativement à la situation qui prévalait jusqu’à la reddition de la décision, le 18 janvier 2021. Il en va de même des arguments du recourant au sujet de son état de santé actuel, après la décision qui circonscrit l’état de fait. d) La Dre J.________ a dûment tenu compte du rapport de la P.________ du 24 mai 2019 dans son expertise. Elle a indiqué que les symptômes décrits dans ce rapport n’expliquaient pas l’absence totale de capacité de travail retenue et que les événements de la vie du recourant en 2015 (plainte de sa fille et procédure judiciaire) s’apparentaient à des facteurs de stress ayant pu le décompenser (p. 13 du rapport). Elle a souligné l’irrégularité du traitement thérapeutique et le fait que le rapport de la P.________ attestait, en 2019, un état dépressif depuis 2010, alors que le suivi avait été interrompu entre 2012 et 2015. Elle a noté que malgré la présence de symptômes anxieux et dépressifs, le dosage du médicament anti-dépresseur avait été diminué (p. 17 du rapport). Elle a expliqué que l’intéressé présentait une perte d’énergie, d’espoir et de vision d’avenir, de motivation, une fatigue et une fatigabilité, une attitude morose face à l’avenir, une perte de confiance en lui et un manque de réactivité émotionnelle aux choses habituellement agréables (pp 18-19 du rapport). Elle a ainsi bien relevé des symptôme dépressifs et anxieux, au contraire de ce que soutient le recourant. Selon son appréciation, elle n’avait pas mis en évidence de trouble du sommeil, de perte d’appétit, d’idée noire ou auto-agressive, ou encore de culpabilité. La motivation de la Dre J.________ quant au degré de gravité de l’atteinte dépressive et anxieuse apparaît convaincante et congruente avec ses observations. S’agissant des limitations fonctionnelles, le rapport des médecins de la P.________ du 24 mai 2019 retenait effectivement de nombreuses limitations, sous la forme de croix cochées dans la liste figurant sur le formulaire qui leur était adressé. Toutefois et contrairement à ce que soutient le recourant, ces limitations ont été considérées par l’experte J.________. Par ailleurs, les médecins traitants n’ont pas expliqué en quoi ces limitations entraineraient une perte de capacité de travail dans une activité adaptée. Le recourant reproche la brièveté de l’analyse des effets du diagnostic et des problèmes retenus par la Dre J.________ sur sa capacité de travail. Or, l’experte a clairement indiqué que l’atteinte psychique de l’intéressé n’influençait pas sa capacité de travail dans une activité adaptée, de sorte que des développements supplémentaires n’apparaissaient à l’évidence pas nécessaires. On relève encore que le rapport de la P.________ du 24 mai 2019 retient comme diagnostic celui de modification durable de la personnalité après une expérience de catastrophe (F62), depuis juillet 2008. Or, l’expertise pluridisciplinaire du 4 mars 2009 avait établi à cette date déjà qu’il n’y avait plus d’élément en faveur d’un trouble post-traumatique et que le diagnostic de modification durable de la personnalité était erroné. De plus, la fréquence du suivi psychiatrique, d’une fois par mois, soutient également les conclusions de la Dre J.________ (cf. également rapport du 5 mai 2021). Ce rapport n’est ainsi pas de nature à remettre en question la valeur probante de l’expertise de la Dre J.________. Ce d’autant moins qu’il ne porte pas sur la modification de l’état de santé du recourant depuis la première décision de l’OAI, ce qui constitue l’objet de la présente cause (cf. à ce sujet TF 9C_418/2010 du 29 août 2011 consid. 4.2). e) Quant aux rapports de la P.________ postérieurs à l’expertise, dans la mesure où ils sont recevables, ils ne sauraient pas non plus jeter le doute sur les conclusions convaincantes de la Dre J.________. Le suivi s’avère toujours effectué à une fréquence mensuelle et il est imposé au recourant (suivi obligatoire d’une année). Les médecins traitants ne critiquent pas les constats de la Dre J.________, puisqu’elles ne semblent pas savoir qu’une expertise a été diligentée et elles indiquent précisément qu’un tel processus pourrait trancher leurs hypothèses diagnostiques (rapport du 4 juin 2021). Dans leur dernier rapport, les médecins traitants laissent entendre qu’elles n’étaient pas en possession des rapports antérieurs, lors de l’établissement de leur rapport du 5 mai 2021 et qu’une fois ces informations connues, elles sont revenues sur leur appréciation diagnostique. Elles mentionnent des hypothèses en lien avec un syndrome de dépendance et des troubles de la personnalité. Elles n’ont suivi le recourant que dès le mois de février 2021. Cette appréciation n’est ainsi manifestement pas de nature à faire douter de celle de la Dre J.________, pour la période pertinente. f) Le recourant argue qu’il aurait dû faire l’objet de mesures de performance en activité. En l’absence de tout élément médical portant sur la diminution potentielle de son rendement, on voit mal en quoi l’OAI ou l’experte auraient dû suggérer une telle mesure. g) Le recourant fait ensuite valoir qu’aucun rapport n’a été rendu s’agissant du trouble de l’audition dont il souffre de longue date. Il s’interroge sur l’incidence de ses troubles de l’équilibre et de la surdité sur sa santé psychique et relève que le Dr M.________, qui l’avait suivi sur le plan ORL à la suite de son accident, avait indiqué dans son rapport du 28 avril 2008, qu’il y avait une incidence objective entre la manifestation des troubles de l’audition et l’existence de difficultés de la concentration et la présence d’une fatigue importante, liée à la nécessité pour le corps de puiser dans ses réserves pour assurer l’équilibre. Le recourant omet de mentionner le caractère temporaire de ces constats, qui se dégage dudit rapport (« Le patient sera certainement capable de reprendre son activité tout au moins à temps partiel dans un délai de quelques semaines à quelques mois », p. 108 du dossier). Quoi qu’il en soit, cette pièce n’entre pas dans l’état de fait déterminant de la présente cause, puisqu’elle date d’avant la première décision de l’OAI dont la révision matérielle est demandée. L’atteinte ORL est connue et documentée, le SMR et l’OAI ont continué d’en tenir compte et le recourant n’a pas prétendu, avant la phase judiciaire, que cette atteinte se serait péjorée. Aucune pièce médicale ne suggère le contraire et il y a lieu de rappeler le devoir de collaborer du recourant (ATF 125 V 193 consid. 2 ; ATF 140 I 285 consid. 6.3.1 ; TF 9C_476/2021 du 30 juin 2022, consid. 5.2.1). Ces griefs doivent être écartés. h) Ainsi, sur le plan médical, l’OAI était fondé à suivre le rapport d’expertise de la Dre J.________ pour l’atteinte psychique, et les constats qui prévalaient lors de la première décision pour l’atteinte somatique ORL. Le recourant présentait donc une capacité de travail entière dans une activité adaptée à ses limitations fonctionnelles, depuis février 2009.</w:t>
      </w:r>
    </w:p>
    <w:p>
      <w:r>
        <w:rPr>
          <w:b/>
        </w:rPr>
        <w:t>E. 9</w:t>
      </w:r>
    </w:p>
    <w:p>
      <w:r>
        <w:t>a) Sur le plan économique, le recourant conteste uniquement la mesure de l’abattement appliqué à son revenu avec invalidité, à savoir 5 %, et considère que ce taux devrait être de 25 %, compte tenu de ses limitations fonctionnelles. Les éléments à prendre en compte sont, selon lui, des troubles de la concentration, une grande fatigabilité, des difficultés relationnelles ressenties, une hypersensibilité au stress, ainsi qu’une capacité d’adaptation au changement limitée. De plus, il avait été éloigné du marché du travail durant plus de treize ans et n’était pas au bénéfice d’une formation professionnelle ou d’une expérience particulière. b) Pour déterminer le revenu avec invalidité (consid. 4b supra ),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8C_80/2013 du 17 janvier 2014 consid. 4.2 ; 9C_751/2011 du 30 avril 2012 consid. 4.2.1 ; 8C_227/2017 du 17 mai 2018 consid. 3.1). Le pouvoir d'examen de l'autorité judiciaire de première instance n'est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126 V 75 consid. 6 ; 8C_227/2017 du 17 mai 2018 consid. 3.3). c) En l’occurrence, il ressort de la feuille de calcul établie le 25 septembre 2020 (p. 561 du dossier) que l’OAI a considéré que les limitations somatiques n’engendraient pas de désavantage salarial. Il existait suffisamment d’activités adaptées au vu des limitations fonctionnelles et l’OAI est revenu sur son appréciation de 2009, qui retenait un abattement de 10 %. Une réduction de 5 % se justifiait en raison des limitations fonctionnelles psychiques, qui pouvaient engendrer un désavantage salarial, au contraire des autres facteurs. L’intéressé pouvait mettre sa capacité de travail résiduelle en valeur dans un travail simple et répétitif dans le domaine industriel léger, comme dans le montage, le contrôle ou la surveillance d’un processus de production, comme ouvrier à l’établi dans des activités simples et légères ou ouvrier dans le conditionnement. Compte tenu des particularités du cas d’espèce ainsi que des limitations fonctionnelles somatiques et psychiques, retenues par l’OAI et confirmées ci-avant, il n’appert pas justifié de revenir sur l’appréciation de l’intimé quant au taux d’abattement. La capacité de travail résiduelle du recourant ainsi que ses limitations fonctionnelles ne permettent pas de rendre hautement vraisemblable qu’il n’atteindrait pas le revenu moyen des travailleurs du secteur retenu in casu , moyennant un abattement de 5 %. En particulier, la longue absence ou éloignement du marché du travail ne constitue pas un facteur déterminant pour l'abattement (ATF 126 V 75 consid. 5b/aa ; TF 9C_892/2012 du 30 avril 2013 consid. 5.4). Les activités adaptées retenues, au niveau de compétence 1 du tableau de l’ESS, ne requièrent aucune formation ou expérience professionnelle spécifique, de sorte que cet argument du recourant tombe également à faux (entre autres, TF 8C_438/2022 du 26 mai 2023, consid. 4.3.5). Les limitations fonctionnelles du recourant ont été prises en compte ; elles conduisent à l’inexigibilité de son activité habituelle et à une réduction de 5 % de son revenu avec invalidité. En revanche, la question de l’admissibilité de la diminution de l’abattement de 10 % à 5 %, alors que ce taux avait été retenu dans la décision de l’OAI de 2009, que la situation sur le plan somatique n’a pas évolué et que ce taux avait été également retenu par l’assurance-accidents dans son calcul d’invalidité pourrait se poser (cf. à ce sujet p. 327 du dossier et TF 8C_129/2022 du 25 novembre 2022 consid. 4.4.2). Quoi qu’il en soit, l’application d’un taux d’abattement de 10 %, ou même de 25 %, ne changerait pas le droit à une rente d’invalidité du recourant. En effet, le calcul aboutit à un degré d’invalidité inférieur à 40 % dans tous ces cas de figure (revenu sans invalidité : 79'927 ; revenu avec invalidité : [68'105,5 – 25 % = 51'079,13] ; comparaison : [79'927 – 51'079,13] / [79'927 x 100] = 36,09 %). Partant, le taux d’abattement retenu par l’intimé peut être confirmé. d) Les autres éléments de calculs ne sont pas contestés et peuvent être confirmés, après vérification d’office. e) Au vu de son degré d’invalidité inférieur à 40 %, le droit à une rente d’invalidité est fermé pour le recourant (cf. consid. 4b supra ).</w:t>
      </w:r>
    </w:p>
    <w:p>
      <w:r>
        <w:rPr>
          <w:b/>
        </w:rPr>
        <w:t>E. 10</w:t>
      </w:r>
    </w:p>
    <w:p>
      <w:r>
        <w:t>Le recourant a conclu à l’octroi de mesures professionnelles, sans toutefois motiver cette conclusion ou expliquer quelles mesures elle vise concrètement. Il ressort du dossier qu’en 2009, il ne s’était pas senti apte à entreprendre des mesures d’intervention précoce et l’examen de mesures de réadaptation professionnelle (cf. décision du 16 décembre 2009, p. 355 du dossier). Le 25 septembre 2020, le secteur de réadaptation de l’OAI a estimé que le droit du recourant à des mesures n’était pas ouvert et que même s’il l’était, aucune mesure simple et adéquate ne serait objectivement et subjectivement susceptible de réduire le préjudice économique (rapport REA, p. 559 du dossier). Sur demande du recourant, il pourrait bénéficier d’une aide au placement (idem ; art. 18 LAI). A la lumière des pièces au dossier, le recourant n’a, semble-t-il, jamais demandé, ni participé à des mesures d’ordre professionnel et n’a pas demandé de bénéficier de l’aide au placement. Dans ces circonstances, la décision de l’OAI ne saurait qu’être confirmée s’agissant des mesures d’ordre professionnel, aucun élément ne permettant de remettre en cause son appréciation.</w:t>
      </w:r>
    </w:p>
    <w:p>
      <w:r>
        <w:rPr>
          <w:b/>
        </w:rPr>
        <w:t>E. 11</w:t>
      </w:r>
    </w:p>
    <w:p>
      <w:r>
        <w:t>Le dossier est complet. Il permet ainsi à la Cour de céans de statuer en pleine connaissance de cause. Il n’y a pas lieu de donner suite à la mesure d’instruction requise par le recourant, à savoir la mise en œuvre d’une nouvelle expertise pluridisciplinaire. En effet, une telle mesure ne serait pas de nature à modifier les considérations qui précèdent, les faits pertinents sur le plan médical ayant pu être constatés à satisfaction de droit et ayant pu être librement appréciés (appréciation anticipée des preuves ; ATF 144 II 427 consid. 3.1.3 ; 141 I 60 consid. 3.3). Il en va de même de la requête d’audition du recourant, formulée sous forme d’interrogatoire sur certains allégués de faits, soit en tant qu’offre de moyen de preuves.</w:t>
      </w:r>
    </w:p>
    <w:p>
      <w:r>
        <w:rPr>
          <w:b/>
        </w:rPr>
        <w:t>E. 12</w:t>
      </w:r>
    </w:p>
    <w:p>
      <w:r>
        <w:t>a) Au vu de ce qui précède, l’état de santé du recourant et ses conséquences sur sa capacité de gain ne lui ouvrent pas le droit à une rente d’invalidité. L’intimé était ainsi fondé à rendre sa décision de refus du 18 janvier 2021. Il s’ensuit que le recours doit être rejeté. b) La procédure de recours en matière de contestations portant sur l’octroi ou le refus de prestations de l’assurance-invalidité est soumise à des frais de justice (art. 69 al. 1 bis LAI). Il convient de les fixer à 600 fr. et de les mettre à la charge du recourant, vu l’issue du litige. T outefois, dès lors qu’il a obtenu, au titre de l’ assistance judiciaire , l’exonération d’avances et des frais de justice, ces frais sont laissés provisoirement à la charge de l’Etat (art. 122 al. 1 let. b CPC [code fédéral de procédure civile du 19 décembre 2008 ; RS 272], applicables par renvoi de l’art. 18 al. 5 LPA-VD). c) Il n’y a par ailleurs pas lieu d’allouer de dépens, le recourant n’obtenant pas gain de cause (art. 61 let. g LPGA a contrario ). d) Le recourant bénéficie, au titre de l’assistance judiciaire, de la commission d’office d’un avocat en la personne de Me Vincent Demierre, qui peut prétendre à une équitable indemnité pour son mandat d’office, laquelle est fixée en considération de l’importance de la cause, de ses difficultés, de l’ampleur du travail et du temps consacré par le conseil juridique commis d’office ; à cet égard, le juge apprécie l’étendue des opérations nécessaires pour la conduite du procès. En l’occurrence, il convient de fixer l’indemnité de conseil d’office de Me Demierre à 3'000 fr., débours et TVA compris (art. 3 al. 2 RAJ [règlement cantonal du 7 décembre 2010 sur l’assistance judiciaire en matière civile ; BLV 211.02.3]). e) Le recourant est rendu attentif au fait qu’il est tenu de rembourser les frais et l’indemnité provisoirement pris en charge par l’État, dès qu’il sera en mesure de le faire (art. 122 al. 1 let. a, b et 123 CPC [code fédéral de procédure civile du 19 décembre 2008 ; RS 272], applicable par renvoi de l’art. 18 al. 5 LPA-VD). Les modalités de ce remboursement sont fixées par la Direction du recouvrement de la Direction générale des affaires institutionnelles et des communes (DGAIC,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