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841 vom 13. November 2023</w:t>
      </w:r>
    </w:p>
    <w:p>
      <w:r>
        <w:t>VD Tribunal cantonal, 2023-11-13, FR</w:t>
      </w:r>
    </w:p>
    <w:p>
      <w:r>
        <w:rPr>
          <w:b/>
        </w:rPr>
        <w:t xml:space="preserve">Quelle: </w:t>
      </w:r>
      <w:r>
        <w:t>https://mcp.opencaselaw.ch/entscheid/vd_findinfo_Arr_t___2023___841</w:t>
      </w:r>
    </w:p>
    <w:p>
      <w:r>
        <w:t>FR: VD_FINDINFO Arrêt / 2023 / 841 du 13 novembre 2023</w:t>
      </w:r>
    </w:p>
    <w:p>
      <w:r>
        <w:t>IT: VD_FINDINFO Arrêt / 2023 / 841 del 13 novembre 2023</w:t>
      </w:r>
    </w:p>
    <w:p>
      <w:pPr>
        <w:pStyle w:val="Heading2"/>
      </w:pPr>
      <w:r>
        <w:t>Regeste</w:t>
      </w:r>
    </w:p>
    <w:p>
      <w:r>
        <w:t>RÉDUCTION DE L'HORAIRE DE TRAVAIL, VIRUS{MALADIE}, RISQUE D'EXPLOITATION, PERTE DE TRAVAIL | 31 LACI, 32 LACI, 33 al. 1 let. b LACI</w:t>
      </w:r>
    </w:p>
    <w:p>
      <w:pPr>
        <w:pStyle w:val="Heading2"/>
      </w:pPr>
      <w:r>
        <w:t>Volltext</w:t>
      </w:r>
    </w:p>
    <w:p>
      <w:r>
        <w:t>Vaud Tribunal cantonal Cour des assurances sociales Arrêt / 2023 / 841</w:t>
      </w:r>
    </w:p>
    <w:p>
      <w:r>
        <w:t>RÉDUCTION DE L'HORAIRE DE TRAVAIL, VIRUS{MALADIE}, RISQUE D'EXPLOITATION, PERTE DE TRAVAIL | 31 LACI, 32 LACI, 33 al. 1 let. b LACI</w:t>
      </w:r>
    </w:p>
    <w:p>
      <w:r>
        <w:t>TRIBUNAL CANTONAL ACH 108/22 - 126/2023 ZQ22.028658 COUR DES ASSURANCES SOCIALES _____________________________________________ Arrêt du 13 novembre 2023 __________________ Composition : Mme Di Ferro Demierre , présidente Mme Brélaz Braillard et M. Piguet, juges Greffière : Mme              Monod ***** Cause pendante entre : B.________Sàrl , à [...], recourante, et Direction générale de l'emploi et du marché du travail , à Lausanne, intimée. _______________ Art. 31, 32 et 33 LACI E n  f a i t  : A. La société B.________Sàrl (ci-après : la société ou la recourante) a pour but l’importation et la distribution de matériel divers et de produits liés à l’informatique, le conseil et support technique en rapport ou non avec les produits distribués (cf. extrait du registre du commerce vaudois). A la suite de plusieurs demandes de prestations formulées entre le 27 mars 2020 et le 17 mai 2021 auprès du Service de l'emploi (ci-après : le SDE ; depuis le 1 er juillet 2022 : la Direction générale de l'emploi et du marché du travail [DGEM ; ci-après également : l’intimée]), la société a été mise au bénéfice d'indemnités en cas de réduction de l'horaire de travail du 26 mars 2020 au 30 novembre 2021 dans le contexte de la pandémie de Covid-19 (cf. décisions des 14 avril, 16 octobre 2020, 5 janvier, 1 er mars et 11 juin 2021). Le 6 décembre 2021, la société a déposé une nouvelle demande d'indemnités en cas de réduction de l'horaire de travail pour la période du 1 er décembre 2021 au 30 juin 2022 pour l’ensemble de son personnel, à savoir ses trois collaborateurs. Elle a souligné que la distribution et la mise en place de ses deux logiciels principaux (diffusion de médias et gestion) ne pouvaient être envisagées avant le premier trimestre 2022 en raison des retards décisionnels de sa clientèle. Des activités liées à l’événementiel n’avaient pas encore pu se concrétiser. Quant aux services de développement, un nouveau contrat avait été signé, mais il ne représentait qu’une faible partie des revenus de la société. Le démarchage de nouveaux clients et de nouveaux partenariats se poursuivait, tandis que la société recherchait des activités et projets alternatifs. Son chiffre d’affaires avait diminué de plus de la moitié depuis 2020 et 2021. Le comportement commercial de ses clients impactait directement ses activités. Le 27 janvier 2022, en réponse à une mesure d'instruction du SDE, la société a indiqué, en substance, que son activité demeurait indirectement impactée par les mesures sanitaires du fait des restrictions du nombre de personnes dans les locaux commerciaux. Son chiffre d’affaires et son bénéfice en subissaient les conséquences, ainsi que le budget publicitaire. Elle estimait la perte de son chiffre d’affaires à 80 % et la perte de travail à 90 %, en raison de la baisse des demandes de la clientèle. Elle reconnaissait une fluctuation d’activité saisonnière usuelle durant l’été lui permettant de rattraper d’éventuels retards, ce qui n’avait plus été le cas depuis la pandémie. Par décision du 25 février 2022, le SDE a rejeté la demande d'indemnités de la société, au motif que celle-ci ne subissait pas une perte de travail vraisemblable en lien avec des mesures étatiques. La baisse de son chiffre d’affaires à la suite du manque d’investissements de ses clients ne permettait pas de conclure à une perte de travail indemnisable. Aucun de ses collaborateurs n’était par ailleurs empêché de reprendre concrètement le travail et pouvait contribuer à d’autres activités pour supporter l’entreprise. Enfin, les difficultés de trésorerie ne justifiaient pas une indemnisation par l’assurance-chômage. Par correspondance du 25 mars 2022, complétée le 11 avril 2022, la société s’est opposée à la décision précitée. Elle a réitéré que son activité continuait d’être impactée par la situation liée à la pandémie, malgré la suppression partielle des restrictions sanitaires. Elle rappelait être directement impactée par les décisions de ses clients, lesquels subissaient encore des répercussions économiques importantes. Seul le support technique informatique, exercé par la direction, avait été maintenu et correspondait environ à 20 % du chiffre d’affaires. Elle relevait également que ses activités étaient en pleine mutation depuis 2019 (projets logiciels et événementiels), mais que leur lancement avait été suspendu en raison de la pandémie. Une amélioration progressive était envisageable à partir de janvier 2022 à une échéance de plusieurs mois. Elle considérait désormais que la perte de travail serait de 60 %. Le SDE a rendu sa décision sur opposition le 16 juin 2022 et confirmé sa décision du 25 février 2022. Il a, en premier lieu, souligné que la réorientation des activités de la société depuis 2019 avec une commercialisation de nouveaux produits envisagée dès mars 2020 permettait d’expliquer un manque de travail durant la période de lancement d’une durée usuelle d’environ deux ans. Cette perte d’activité constituait un risque normal d’exploitation qu’il n’appartenait pas à l’assurance-chômage d’indemniser. En second lieu, le SDE a observé que la perte de travail annoncée à la caisse de chômage compétente avait été constante depuis mars 2020 sans corrélation avec les fluctuations du chiffre d’affaires. Une baisse du chiffre d’affaires ne suffisait pas à justifier une perte de travail indemnisable. En dernier lieu, le SDE relevait que l’assurance-chômage n’avait pas pour objectif de pallier les difficultés financières de la société à la suite de la réorganisation de ses activités. B. B.________Sàrl a déféré la décision sur opposition du 16 juin 2022 à la Cour des assurances sociales du Tribunal cantonal par mémoire de recours du 15 juillet 2022, complété le 22 août 2022, concluant à sa réforme dans le sens de l’octroi des indemnités en cas de réduction de l’horaire de travail revendiquées dès le 1 er décembre 2021. Elle a, pour l’essentiel, réitéré ses précédentes explications, précisant toutefois que sa réorientation vers le développement logiciel avait été entamée bien avant 2019, à savoir dès 2016-2017. Un logiciel de communication multimédia, ainsi qu’un logiciel spécialisé, dont le développement avait été financé sur ses réserves, devaient lui garantir du travail et des revenus substantiels en 2020. Les mesures de lutte contre la pandémie avaient stoppé net la mise en œuvre concrète de ses projets. Elle avait toutefois maintenu les postes de travail de ses développeurs et poursuivi ses activités marginales de support informatique afin d’assurer quelques rentrées financières. En dépit de la diminution des restrictions sanitaires, la société ne parvenait pas à concrétiser ses objectifs, vu les réticences de ses clients et les problèmes de distribution de matériel. Elle estimait néanmoins avoir assumé sa gestion de manière conforme aux exigences en matière d’assurance-chômage. Sa demande d’indemnités n’était, à son avis, pas corrélée à un manque de ressources financières ou à un risque normal d’exploitation, mais uniquement à l’absence de reprise économique consécutive à la pandémie de Covid-19. La DGEM a répondu au recours le 21 septembre 2022 et conclu à son rejet. Elle a fait valoir que la phase de démarrage de la réorientation de la société devait bel et bien être fixée en 2020 et que les indemnités revendiquées intervenaient dans un contexte exclu de l’indemnisation par l’assurance-chômage. Elle a, au surplus, considéré que les explications avancées par la société ne permettaient pas de démontrer une perte de travail avérée et inévitable. Par réplique du 21 novembre 2022, la société a maintenu ses conclusions. La DGEM en a fait de même dans une duplique du 12 décembre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l’indemnité en cas de réduction de l’horaire de travail pour la période du 1 er décembre 2021 au 30 juin 2022.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consid. 3.1).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ATF 138 V 333 ; TF 8C_603/2015 du 15 avril 2016 consid. 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e)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 n° 7 ad art. 32 LACI). Par ailleurs, l’assurance-chômage ne doit pas intervenir dans les rapports de concurrence en soutenant les entreprises structurellement faibles au détriment des entreprises plus fortes (Rubin, op. cit. , n° 13 ad art. 33 LACI). En outre, une modification fondamentale et durable de la demande constitue un indice qui permet de réfuter la nature provisoire de la perte de travail (TFA C 218/94 du 29 décembre 1994 in : DTA 1995 n° 19 p. 112).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a) En l’espèce, la recourante a revendiqué la poursuite du versement des indemnités en cas de réduction de l’horaire de travail du 1 er décembre 2021 au 30 juin 2022. Durant cet intervalle, singulièrement le 17 décembre 2021, le Conseil fédéral avait imposé, à compter du 20 décembre 2021, la limitation des rencontres privées et publiques, la limitation d’accès aux restaurants, bars et boîtes de nuit (règle dite des « 2G »), ainsi qu’une obligation de travailler à domicile (art. 12, 13, 15 et 25 al. 5 de l’ordonnance COVID-19 situation particulière [ordonnance sur les mesures destinées à lutter contre l’épidémie de COVID-19 en situation particulière du 23 juin 2021] ; état au 20 décembre 2021 ; RS 818.101.26). Lesdites mesures ont été levées par le Conseil fédéral avec effet au 3 février 2022 (obligation du travail à domicile, muée en recommandation), respectivement 17 février 2022 (autres mesures ; ordonnance COVID-19 situation particulière ; état au 16 février 2022). b) Contrairement à ce que semble soutenir la recourante, on ne voit pas que de telles mesures soient véritablement de nature à impacter ses activités, puisqu’il lui était loisible de se rendre auprès de sa clientèle et de procéder aux démarches indispensables à la mise en œuvre concrète de ses logiciels. On ne saurait dès lors considérer que les mesures étatiques auraient eu une incidence directe sur sa perte de travail ou la baisse de son chiffre d’affaires. 6. a) Il est établi, dans le cas particulier que la recourante a bénéficié de l’indemnité en cas de réduction de l’horaire de travail du 26 mars 2020 au 30 novembre 2021, soit sur une période de vingt mois. Par conséquent, au moment de se prononcer sur le renouvellement du droit à l’indemnité, il existait de sérieux indices permettant de renverser la présomption que la perte de travail serait vraisemblablement temporaire et que les emplois pourraient être maintenus. Ainsi que le reconnaît la recourante, la perte de travail qu’elle subit est liée aux difficultés auxquelles elle est confrontée face aux réticences de ses clients, ceux-ci ayant pour l’essentiel reporté leurs commandes et la mise en place du matériel informatique développé par la recourante. Cette dernière subit également les conséquences des problèmes de livraison accusés par certains fournisseurs. Pour autant, on ne peut plus parler, au moment de la décision sur opposition litigieuse, d’une perte de travail exceptionnelle et imprévisible. b) En effet, il ressort des explications fournies par la recourante que la diminution d’activité relevée à fin 2021 et début 2022 a trait aux comportements commerciaux de ses clients (reports, réductions budgétaires) et est liée à un contexte économique défavorable. Cela étant, on ne voit pas ce qui aurait empêché la recourante d’envisager de nouvelles stratégies ou de démarcher une clientèle plus large afin d’éviter, dans la mesure du possible, de se trouver dans les difficultés financières avancées. c) Par ailleurs, il convient d’ajouter que la recourante ne peut se prévaloir d’aucune garantie quant aux intentions de sa clientèle, ce qui constitue incontestablement une circonstance inhérente aux risques d'exploitation généralement assumés par une entreprise au sens de l’art. 33 al. 1 let. a LACI. A cet égard, les circonstances avancées par la recourante (difficultés économiques présentées par ses clients et fournisseurs) doivent désormais être considérées comme des risques normaux d’exploitation et n’apparaissent plus suffisantes pour justifier à elles seules une perte de travail. d) Dans ces conditions, il y a lieu de retenir que les indemnités en cas de réduction de l’horaire de travail ne revêtaient plus, au moment de la demande de renouvellement du droit aux indemnités, un caractère temporaire au sens de l’art. 31 al. 1 let. d LACI. e) C’est par conséquent à bon droit que l’intimée a refusé d’accorder à la recourante le droit à l’indemnité en cas de réduction de l’horaire de travail pour la période litigieuse. 7. a) Sur le vu de ce qui précède, le recours est rejeté et la décision sur opposition du 16 juin 2022 confirmée. b) Il n’y a pas lieu de percevoir de frais judiciaires (art. 61 let. f bis LPGA), ni d’allouer de dépens à la recourante, qui n’obtient pas gain de cause et n’est de toute façon pas représentée par un mandataire professionnel (ATF 127 V 205 consid. 4b). Par ces motifs, la Cour des assurances sociales prononce : I. Le recours est rejeté. II. La décision sur opposition rendue le 16 juin 2022 par la Direction générale de l’emploi et du marché du travail est confirmée. III. Il n’est pas perçu de frais judiciaires, ni alloué de dépens. La présidente : La greffière : Du L'arrêt qui précède, dont la rédaction a été approuvée à huis clos, est notifié, par l'envoi de photocopies, à : ‑ B.________Sàrl, à [...], ‑ Direction générale de l’emploi et du marché du travail,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