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811 vom 2. November 2023</w:t>
      </w:r>
    </w:p>
    <w:p>
      <w:r>
        <w:t>VD Tribunal cantonal, 2023-11-02, FR</w:t>
      </w:r>
    </w:p>
    <w:p>
      <w:r>
        <w:rPr>
          <w:b/>
        </w:rPr>
        <w:t xml:space="preserve">Quelle: </w:t>
      </w:r>
      <w:r>
        <w:t>https://mcp.opencaselaw.ch/entscheid/vd_findinfo_Arr_t___2023___811</w:t>
      </w:r>
    </w:p>
    <w:p>
      <w:r>
        <w:t>FR: VD_FINDINFO Arrêt / 2023 / 811 du 2 novembre 2023</w:t>
      </w:r>
    </w:p>
    <w:p>
      <w:r>
        <w:t>IT: VD_FINDINFO Arrêt / 2023 / 811 del 2 novembre 2023</w:t>
      </w:r>
    </w:p>
    <w:p>
      <w:pPr>
        <w:pStyle w:val="Heading2"/>
      </w:pPr>
      <w:r>
        <w:t>Regeste</w:t>
      </w:r>
    </w:p>
    <w:p>
      <w:r>
        <w:t>DROIT D'OBTENIR UNE DÉCISION, RETARD INJUSTIFIÉ, ADMISSION DE LA DEMANDE | 450a al. 2 CC, 450b al. 3 CC</w:t>
      </w:r>
    </w:p>
    <w:p>
      <w:pPr>
        <w:pStyle w:val="Heading2"/>
      </w:pPr>
      <w:r>
        <w:t>Erwägungen</w:t>
      </w:r>
    </w:p>
    <w:p>
      <w:r>
        <w:rPr>
          <w:b/>
        </w:rPr>
        <w:t>E. 3.1</w:t>
      </w:r>
    </w:p>
    <w:p>
      <w:r>
        <w:t>En conclusion, le recours doit être admis et la cause renvoyée à l’autorité de protection pour qu’elle statue sur la requête d’A.T.________ du 2 septembre 2022 dans un délai de trente jours suivant la notification du présent arrêt.</w:t>
      </w:r>
    </w:p>
    <w:p>
      <w:r>
        <w:rPr>
          <w:b/>
        </w:rPr>
        <w:t>E. 3.2</w:t>
      </w:r>
    </w:p>
    <w:p>
      <w:r>
        <w:t>Le présent arrêt peut être rendu sans frais judiciaires (art. 74a al. 4 TFJC [Tarif du 28 septembre 2010 des frais judiciaires civils ; BLV 270.11.5]). Par ces motifs, la Chambre des curatelles du Tribunal cantonal, statuant à huis clos, prononce : I. Le recours est admis. II. Ordre est donné à l’autorité de protection de statuer sur la requête d’A.T.________ du 2 septembre 2022 dans un délai de trente jours dès notification du présent arrêt. III. L’arrêt est rendu sans frais judiciaires de deuxième instance. IV. L'arrêt est exécutoire. La présidente :              La greffière : Du L'arrêt qui précède, dont la rédaction a été approuvée à huis clos, est notifié à : ‑ Mme A.T.________, ‑ M. B.T.________,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