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2023 / 750 vom 31. Oktober 2023</w:t>
      </w:r>
    </w:p>
    <w:p>
      <w:r>
        <w:t>VD Tribunal cantonal, 2023-10-31, FR</w:t>
      </w:r>
    </w:p>
    <w:p>
      <w:r>
        <w:rPr>
          <w:b/>
        </w:rPr>
        <w:t xml:space="preserve">Quelle: </w:t>
      </w:r>
      <w:r>
        <w:t>https://mcp.opencaselaw.ch/entscheid/vd_findinfo_Arr_t___2023___750</w:t>
      </w:r>
    </w:p>
    <w:p>
      <w:r>
        <w:t>FR: VD_FINDINFO Arrêt / 2023 / 750 du 31 octobre 2023</w:t>
      </w:r>
    </w:p>
    <w:p>
      <w:r>
        <w:t>IT: VD_FINDINFO Arrêt / 2023 / 750 del 31 ottobre 2023</w:t>
      </w:r>
    </w:p>
    <w:p>
      <w:pPr>
        <w:pStyle w:val="Heading2"/>
      </w:pPr>
      <w:r>
        <w:t>Regeste</w:t>
      </w:r>
    </w:p>
    <w:p>
      <w:r>
        <w:t>VIRUS{MALADIE}, PERTE DE TRAVAIL, RISQUE D'EXPLOITATION, RÉDUCTION DE L'HORAIRE DE TRAVAIL | 31 LACI, 32 LACI, 33 al. 1 let. b LACI, 33 al. 1 let. d LACI, 51 OACI, 51a OACI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a) Sur le vu de ce qui précède, le recours est rejeté et la décision sur opposition du 12 septembre 2022 confirmée. b) Il n’y a pas lieu de percevoir de frais judiciaires (art. 61 let. f bis LPGA), ni d’allouer de dépens à la recourante, qui n’obtient pas gain de cause (ATF 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