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VD_FINDINFO Arrêt / 2023 / 676 vom 26. September 2023</w:t>
      </w:r>
    </w:p>
    <w:p>
      <w:r>
        <w:t>VD Tribunal cantonal, 2023-09-26, FR</w:t>
      </w:r>
    </w:p>
    <w:p>
      <w:r>
        <w:rPr>
          <w:b/>
        </w:rPr>
        <w:t xml:space="preserve">Quelle: </w:t>
      </w:r>
      <w:r>
        <w:t>https://mcp.opencaselaw.ch/entscheid/vd_findinfo_Arr_t___2023___676</w:t>
      </w:r>
    </w:p>
    <w:p>
      <w:r>
        <w:t>FR: VD_FINDINFO Arrêt / 2023 / 676 du 26 septembre 2023</w:t>
      </w:r>
    </w:p>
    <w:p>
      <w:r>
        <w:t>IT: VD_FINDINFO Arrêt / 2023 / 676 del 26 settembre 2023</w:t>
      </w:r>
    </w:p>
    <w:p>
      <w:pPr>
        <w:pStyle w:val="Heading2"/>
      </w:pPr>
      <w:r>
        <w:t>Regeste</w:t>
      </w:r>
    </w:p>
    <w:p>
      <w:r>
        <w:t>VIRUS{MALADIE}, PERTE DE TRAVAIL, RÉDUCTION DE L'HORAIRE DE TRAVAIL | 31 LACI, 32 LACI, 33 al. 1 let. a LACI, 33 al. 1 let. b LACI</w:t>
      </w:r>
    </w:p>
    <w:p>
      <w:pPr>
        <w:pStyle w:val="Heading2"/>
      </w:pPr>
      <w:r>
        <w:t>Erwägungen</w:t>
      </w:r>
    </w:p>
    <w:p>
      <w:r>
        <w:rPr>
          <w:b/>
        </w:rPr>
        <w:t>E. 8</w:t>
      </w:r>
    </w:p>
    <w:p>
      <w:r>
        <w:t>a) Sur le vu de ce qui précède, le recours est rejeté et la décision sur opposition du 14 novembre 2022 confirmée. b) Il n’y a pas lieu de percevoir de frais judiciaires (art. 61 let. f bis LPGA), ni d’allouer de dépens à la recourante, qui n’obtient pas gain de cause (ATF 127 V 205 consid. 4b).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