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660 vom 25. Oktober 2023</w:t>
      </w:r>
    </w:p>
    <w:p>
      <w:r>
        <w:t>VD Tribunal cantonal, 2023-10-25, FR</w:t>
      </w:r>
    </w:p>
    <w:p>
      <w:r>
        <w:rPr>
          <w:b/>
        </w:rPr>
        <w:t xml:space="preserve">Quelle: </w:t>
      </w:r>
      <w:r>
        <w:t>https://mcp.opencaselaw.ch/entscheid/vd_findinfo_Arr_t___2023___660</w:t>
      </w:r>
    </w:p>
    <w:p>
      <w:r>
        <w:t>FR: VD_FINDINFO Arrêt / 2023 / 660 du 25 octobre 2023</w:t>
      </w:r>
    </w:p>
    <w:p>
      <w:r>
        <w:t>IT: VD_FINDINFO Arrêt / 2023 / 660 del 25 ottobre 2023</w:t>
      </w:r>
    </w:p>
    <w:p>
      <w:pPr>
        <w:pStyle w:val="Heading2"/>
      </w:pPr>
      <w:r>
        <w:t>Regeste</w:t>
      </w:r>
    </w:p>
    <w:p>
      <w:r>
        <w:t>ADMISSION DE LA DEMANDE, CONFLIT D'INTÉRÊTS, CURATEUR | 400 al. 1 CC, 403 CC, 29 al. 2 Cst.</w:t>
      </w:r>
    </w:p>
    <w:p>
      <w:pPr>
        <w:pStyle w:val="Heading2"/>
      </w:pPr>
      <w:r>
        <w:t>Erwägungen</w:t>
      </w:r>
    </w:p>
    <w:p>
      <w:r>
        <w:rPr>
          <w:b/>
        </w:rPr>
        <w:t>E. 1</w:t>
      </w:r>
    </w:p>
    <w:p>
      <w:r>
        <w:t>Le recours est dirigé contre une décision de la justice de paix relevant le recourant de son mandat de curateur de la personne concernée et nommant F.________ à sa place en cette qualité.</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 e éd., Bâle 2022, n. 42 ad art. 450 CC, p. 2940).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16 avril 2020/74 ;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 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le curateur et la personne concernée, le présent recours est recevable. Il en va de même des pièces produites en deuxième instance, si tant est qu'elles ne figurent pas déjà au dossier. L’autorité de protection a renoncé à se déterminer. Le nouveau curateur F.________, les sœurs et frère de la personne concernée et la représentante thérapeutique de cette dernière se sont déterminés.</w:t>
      </w:r>
    </w:p>
    <w:p>
      <w:r>
        <w:rPr>
          <w:b/>
        </w:rPr>
        <w:t>E. 2.1.1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(de Luze/Page/Stoudmann, Droit de la famille, Lausanne 2013, ch 1.1 ad art. 450 ss CC). La procédure devant l'autorité de protection est régie par les art. 443 ss CC. La personne concernée doit être entendue personnellement, à moins que l’audition personnelle ne paraisse disproportionnée (art. 447 al. 1 CC).</w:t>
      </w:r>
    </w:p>
    <w:p>
      <w:r>
        <w:rPr>
          <w:b/>
        </w:rPr>
        <w:t>E. 2.1.2</w:t>
      </w:r>
    </w:p>
    <w:p>
      <w:r>
        <w:t>En l’espèce, la justice de paix a entendu la personne concernée, ses sœurs, frère et représentante thérapeutique, ainsi que le recourant le 2 mars 2023.</w:t>
      </w:r>
    </w:p>
    <w:p>
      <w:r>
        <w:rPr>
          <w:b/>
        </w:rPr>
        <w:t>E. 2.2.1</w:t>
      </w:r>
    </w:p>
    <w:p>
      <w:r>
        <w:t>Dans un grief formel qu’il convient d’examiner d’emblée, les recourants soutiennent qu’en n’expliquant pas les raisons pour lesquelles elle s’est écartée de la volonté de la personne concernée de voir le curateur être maintenu dans ses fonctions, la justice de paix a violé le droit d’être entendu du recourant.</w:t>
      </w:r>
    </w:p>
    <w:p>
      <w:r>
        <w:rPr>
          <w:b/>
        </w:rPr>
        <w:t>E. 2.2.2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135 I 187 consid. 2.2 ; TF 5A_699/2017 du 24 octobre 2017 consid. 3.1.3 ; TF 5A_741/2016 du 6 décembre 2016 consid. 3.1.2). Ce moyen doit par conséquent être examiné en premier lieu et avec un plein pouvoir d'examen (ATF 137 I 195 consid. 2.2, SJ 2011 I 345 ; TF 5A_681/2014 du 14 avril 2015 consid. 3.1).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sorte que l'intéressé puisse se rendre compte de la portée de celle-ci et l'attaquer en connaissance de cause (ATF 142 II 154 consid. 4.2 ; ATF 133 I 270 consid. 3.1, JdT 2011 IV 3 ; TF 6B_802/2017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136 I 229 consid. 5.2). Une motivation implicite, résultant des différents considérants de la décision, suffit à respecter le droit d’être entendu (ATF 141 V 557 consid. 3.2.1 ; TF 6B_802/2017 du 24 janvier 2018 consid. 1.1 ; TF 5A_892/2013 du 29 juillet 2014 consid. 4.1.2 ; TF 5A_278/2012 du 14 juin 2012 consid. 4.1).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ATF 136 III 174 consid. 5.1.2 ; TF 5A_887/2017 du 16 février 2018 consid. 6.1 ; TF 5A_741/2016 du 6 décembre 2016 consid. 3.1.2 ; TF 5A_897/2015 du 1 er février 2016 consid. 3.2.2).</w:t>
      </w:r>
    </w:p>
    <w:p>
      <w:r>
        <w:rPr>
          <w:b/>
        </w:rPr>
        <w:t>E. 2.2.3</w:t>
      </w:r>
    </w:p>
    <w:p>
      <w:r>
        <w:t>En l’espèce, on comprend de la décision litigieuse que, dès lors que la justice de paix a estimé qu’un potentiel conflit d’intérêts indirect existait entre la recourante et le recourant et qu’elle devait donc relever ce dernier de son mandat de curateur, elle n’avait pas besoin de prendre en considération d’autres éléments dans son analyse, telle la volonté de la recourante. On ne saurait reprocher aux premiers juges de ne pas avoir examiné ce point plus avant. Partant, la décision querellée est suffisamment motivée. Le grief de violation du droit d’être entendu est ainsi infondé.</w:t>
      </w:r>
    </w:p>
    <w:p>
      <w:r>
        <w:rPr>
          <w:b/>
        </w:rPr>
        <w:t>E. 2.3</w:t>
      </w:r>
    </w:p>
    <w:p>
      <w:r>
        <w:t>La décision entreprise est donc formellement correcte et peut être examinée sur le fond.</w:t>
      </w:r>
    </w:p>
    <w:p>
      <w:r>
        <w:rPr>
          <w:b/>
        </w:rPr>
        <w:t>E. 3.1</w:t>
      </w:r>
    </w:p>
    <w:p>
      <w:r>
        <w:t>Les recourants font valoir qu’aucun conflit d’intérêts ne saurait être retenu entre, d’une part, la qualité d’administrateur secrétaire du recourant au sein de G.________ SA et, d’autre part, sa qualité de curateur de la personne concernée. Les recourants estiment par ailleurs que, même si un tel conflit d’intérêts devait être retenu, il serait disproportionné de relever le recourant de sa fonction de curateur pour toutes les tâches qui lui ont été confiées. Dans une telle hypothèse, la tâche relative à la représentation et la gestion des affaires de la personne concernée dans le cadre de la société Z.________ SA devrait être attribuée à un substitut, voire à un co-curateur, les autres tâches devant demeurer attribuées au recourant. Enfin, les recourants considèrent qu’en ne prenant pas en considération le souhait de la personne concernée de maintenir le recourant dans sa fonction de curateur, la justice de paix a porté atteinte aux intérêts de l’intéressée. Dans ce cadre, ils soutiennent que la nomination d’un nouveau curateur est susceptible de porter atteinte à la santé de la personne concernée et qu’un pareil changement, alors que la gestion des affaires de la recourante est confiée à M.________ depuis plus de trente ans sans qu’aucun reproche ne lui ait été formulé, risque de l’impacter fortement émotionnellement, ce que confirment, d’une part, O.________ et, d’autre part, B.I.________, R.________ et T.________ dans leurs écritures déposées devant la Chambre de céans. A cet égard, O.________ précise que tout élément de stabilité relationnelle a une importance capitale pour la personne concernée et que celle-ci a été très choquée par la décision litigieuse révoquant son curateur de confiance.</w:t>
      </w:r>
    </w:p>
    <w:p>
      <w:r>
        <w:rPr>
          <w:b/>
        </w:rPr>
        <w:t>E. 3.2.1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2 e éd., Bâle 2022, nn. 941-942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 ATF 140 III 1 consid. 4.1 ; TF 5A_755/2019 précité consid. 3.2.1 ; Guide pratique COPMA 2012, n. 6.21, p. 186). Cette règle découle du principe d’autodétermination et tient compte du fait qu’une relation de confiance entre la personne concernée et le curateur, indispensable au succès de la mesure, aura d’autant plus de chance de se créer que l’intéressé aura pu choisir lui-même son curateur (Meier, op. cit. , n. 956 p. 502 ; Guide pratique COPMA 2012, n. 6.21, p. 186). Les souhaits de la famille ou d’autres proches de la personne concernée sont aussi pris en considération (art. 401 al. 2 CC), en particulier si l’intéressé n’est pas en mesure de se prononcer lui-même sur l’identité du curateur (Meier, op. cit. , n. 962, p. 505).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(Häfeli, in Commentaire du droit de la famille, Protection de l'adulte, Berne 2013 [ci-après : CommFam], n. 2 ad art. 401 CC, p. 519 ; Meier, op. cit. , nn. 962 et 963, pp. 505 s et les références citées). La prise en considération des souhaits des proches a du sens notamment lorsque la personne concernée n'est pas en mesure de s'exprimer elle-même. En raison de la terminologie choisie par le législateur, le pouvoir d'appréciation de l'autorité s'avère plus étendu que pour la désignation d'un curateur de confiance (Häfeli, loc. cit. ).</w:t>
      </w:r>
    </w:p>
    <w:p>
      <w:r>
        <w:rPr>
          <w:b/>
        </w:rPr>
        <w:t>E. 3.2.2</w:t>
      </w:r>
    </w:p>
    <w:p>
      <w:r>
        <w:t>L’autorité de protection de l'adulte doit veiller à ce qu'il n'y ait pas de conflit d'intérêts entre la personne à protéger et celle qui est pressentie comme curatrice (Häfeli, CommFam, n. 2 ad art. 401 CC, p. 519), ainsi qu'aux dysfonctionnements familiaux et aux difficultés émotionnelles qui peuvent rendre la tâche particulièrement difficile dans certaines situations si elle n'est pas confiée à une personne externe à l'entourage (Meier, op. cit. , n. 964, p. 506). Il y a conflit d'intérêts entre le curateur et la personne concernée lorsque ceux-ci ne sont plus parallèles et qu'il existe un risque abstrait que le représentant légal fasse passer ses intérêts avant ceux de la personne sous curatelle (TF 5A_621/2018 du 11 avril 2019 consid. 3.1 ; Meier, op. cit. , n. 976, p. 512-513 et les références citées ; Steinauer/Fountoulakis, Droit des personnes physiques et de la protection de l'adulte, Berne 2014, n. 1239, p. 550 ; de Luze/Page/Stoudmann, op. cit. , nn. 1.2 à 1.4 ad art. 403 CC, p. 688 et références citées). Il existe un conflit d’intérêt direct lorsque les intérêts de la personne représentée se heurtent directement à ceux de son représentant légal. A côté du conflit d'intérêts direct (contrat avec soi-même, double représentation), il peut y avoir un conflit d'intérêts indirect, lorsqu'il existe une relation étroite entre le curateur et le cocontractant. Une mise en danger abstraite suffit (Häfeli, CommFam, n. 3 ad art. 403 CC, p. 524 ; Steinauer/Fountoulakis, op. cit. , nn. 1239 ss, pp. 550 ss ; Guide pratique COPMA 2012, n. 5.59, pp. 158 ss). Un conflit d’intérêts surviendra par exemple dans le cadre d’un partage successoral (TF 5A_755/2019 précité consid. 3.2) ou de l’administration et de la liquidation de propriétés collectives, à l’occasion d’actes immobiliers auxquels le curateur ou des personnes qui lui sont proches pourraient avoir un intérêt (Steinauer/Fountoulakis, op. cit. , n. 1241, pp. 550 et 551), ou en raison des liens étroits que le curateur entretient avec des tiers qu’il mandate dans le cadre de l’exécution du mandat (TF 5A_713/2019 du 17 octobre 2019 consid. 3). Plus généralement, il existe encore une sorte de clause générale, soit la nécessité de désigner un curateur substitut lorsque le curateur désigné est empêché d’agir ou ne peut régler l’affaire en cause (Steinauer/Fountoulakis, op. cit. , n. 1244, p. 551).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(TF 5A_228/2018 du 30 avril 2018 consid. 4.2 ; Guide pratique COPMA 2012, n. 6.24, p. 187 ; CCUR 3 mars 2021/56).</w:t>
      </w:r>
    </w:p>
    <w:p>
      <w:r>
        <w:rPr>
          <w:b/>
        </w:rPr>
        <w:t>E. 3.2.3</w:t>
      </w:r>
    </w:p>
    <w:p>
      <w:r>
        <w:t>Selon la jurisprudence du Tribunal fédéral, la détention par un actionnaire de 5 % du capital-actions d’une société est trop faible pour permettre de retenir un risque concret de pressions de sa part sur le conseil d’administration de ladite société (TF 2C_45/2016 du 11 juillet 2016 consid. 2.3.2).</w:t>
      </w:r>
    </w:p>
    <w:p>
      <w:r>
        <w:rPr>
          <w:b/>
        </w:rPr>
        <w:t>E. 3.3.1</w:t>
      </w:r>
    </w:p>
    <w:p>
      <w:r>
        <w:t>En l’espèce, la seule question qui se pose est celle de savoir s’il y a un risque abstrait de conflit d’intérêts entre la recourante et le recourant. La problématique de la relation de confiance passe en effet au second plan si un tel conflit existe et exclut que le mandat reste confié au recourant. Il ne s’agit en particulier pas de faire une pesée des intérêts entre la relation de confiance ou le souhait de la personne concernée et le conflit d’intérêts mais seulement d’examiner si ce dernier doit être retenu.</w:t>
      </w:r>
    </w:p>
    <w:p>
      <w:r>
        <w:rPr>
          <w:b/>
        </w:rPr>
        <w:t>E. 3.3.2</w:t>
      </w:r>
    </w:p>
    <w:p>
      <w:r>
        <w:t>Dans ce cadre, il est constaté que la personne concernée détient 104 des 540 actions de Z.________ SA, à savoir 19,26 % du capital-actions de cette société. Z.________ SA détient 6'446 des 53'000 actions de G.________ SA, à savoir 12,16 % du capital-actions de cette dernière. Ainsi, la participation indirecte de la personne concernée dans la société dont le curateur est administrateur est de 2,34 %. Celle-ci n’est dès lors pas en mesure d’exercer une quelconque pression sur le conseil d’administration de G.________ SA. Quoi qu’il en soit, il importe surtout de savoir si le recourant et curateur pourrait potentiellement, en raison de ses fonctions d’administrateur au sein de G.________ SA, être amené à prendre des décisions, dans le cadre de la représentation et de la gestion du patrimoine de la personne concernée, qui seraient contraires aux intérêts de celle-ci. On ne voit toutefois pas lesquelles, la décision litigieuse n’apportant pas plus d’informations à cet égard. Comme administrateur de G.________ SA, le recourant doit en effet répondre de son activité devant les actionnaires de cette société et n’a pas un intérêt personnel, dans le cadre de ce mandat, à prendre des décisions qui seraient potentiellement contraires à celles des actionnaires. Surtout, on relèvera que par son rôle de curateur représentant une actionnaire qui ne détient, indirectement, que 2,34 % de la société qu’il administre, il n’est pas en mesure de se favoriser. Partant, l’existence d’un potentiel conflit d’intérêts entre le recourant et la recourante n’est pas établie. Dès lors que le recourant dispose en outre des qualifications requises, il ne se justifiait pas de le relever de sa fonction de curateur de la personne concernée, ce qui correspond au demeurant au souhait exprimé par cette dernière et sa famille.</w:t>
      </w:r>
    </w:p>
    <w:p>
      <w:r>
        <w:rPr>
          <w:b/>
        </w:rPr>
        <w:t>E. 4</w:t>
      </w:r>
    </w:p>
    <w:p>
      <w:r>
        <w:t>TFJC [tarif du 28 septembre 2010 des frais judiciaires civils ; BLV 270.11.5]). Il n’y a pas lieu d’allouer des dépens. En effet, quand bien même les recourants obtiennent gain de cause, la justice de paix n'a pas qualité de partie, mais d'autorité de première instance devant les juridictions de recours, de sorte qu’à défaut de disposition cantonale contraire, des dépens ne peuvent être mis à la charge de cette autorité (CCUR 17 avril 2023/72 et les références citées ; ATF 140 III 385 consid. 2 à 5 in JdT 2015 II 128 ; Tappy, Commentaire romand, Code de procédure civile, Bâle 2019, 2 e éd., n. 35 ad art. 107 CPC, p. 495). Par ces motifs, la Chambre des curatelles du Tribunal cantonal, statuant à huis clos, prononce : I. Le recours est admis. II. La décision rendue le 14 mars 2023 par la Justice de paix du district de la Riviera – Pays-d’Enhaut est annulée. III. L’arrêt est rendu sans frais judiciaires de deuxième instance. IV. L'arrêt est exécutoire. La présidente :              Le greffier : Du L'arrêt qui précède, dont la rédaction a été approuvée à huis clos, est notifié à : ‑ Me Christian Dénériaz (pour M.________ et A.I.________), ‑ M. F.________, ‑ Mme R.________, ‑ Mme T.________, ‑ M. B.I.________, ‑ Mme O.________,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