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65 vom 11. April 2023</w:t>
      </w:r>
    </w:p>
    <w:p>
      <w:r>
        <w:t>VD Tribunal cantonal, 2023-04-11, FR</w:t>
      </w:r>
    </w:p>
    <w:p>
      <w:r>
        <w:rPr>
          <w:b/>
        </w:rPr>
        <w:t xml:space="preserve">Quelle: </w:t>
      </w:r>
      <w:r>
        <w:t>https://mcp.opencaselaw.ch/entscheid/vd_findinfo_Arr_t___2023___65</w:t>
      </w:r>
    </w:p>
    <w:p>
      <w:r>
        <w:t>FR: VD_FINDINFO Arrêt / 2023 / 65 du 11 avril 2023</w:t>
      </w:r>
    </w:p>
    <w:p>
      <w:r>
        <w:t>IT: VD_FINDINFO Arrêt / 2023 / 65 del 11 aprile 2023</w:t>
      </w:r>
    </w:p>
    <w:p>
      <w:pPr>
        <w:pStyle w:val="Heading2"/>
      </w:pPr>
      <w:r>
        <w:t>Regeste</w:t>
      </w:r>
    </w:p>
    <w:p>
      <w:r>
        <w:t>FORCE PROBANTE, ENQUÊTE{EN GÉNÉRAL}, MÉTHODE MIXTE D'ÉVALUATION, MESURE DE RÉINSERTION{ART. 14A LAI}, EXPERTISE PLURIDISCIPLINAIRE | 17 LAI, 28 LAI, 28a LAI, 29 LAI, 27bis RAI</w:t>
      </w:r>
    </w:p>
    <w:p>
      <w:pPr>
        <w:pStyle w:val="Heading2"/>
      </w:pPr>
      <w:r>
        <w:t>Erwägungen</w:t>
      </w:r>
    </w:p>
    <w:p>
      <w:r>
        <w:rPr>
          <w:b/>
        </w:rPr>
        <w:t>E. 11</w:t>
      </w:r>
    </w:p>
    <w:p>
      <w:r>
        <w:t>a) La recourante fait enfin grief à l’OAI de n’avoir retenu qu’un abattement de 5 % sur le revenu d’invalide pour tenir compte des limitations fonctionnelles, estimant que compte tenu de ses limitations fonctionnelles, de sa baisse de rendement de 20 %, de son âge, de ses années de service, de sa nationalité et de son taux d’occupation, c’est un abattement de 25 % qui aurait dû être opéré sur le revenu avec invalidité.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l’occurrence, le revenu sans invalidité, non contesté, se monte à 58'652 fr. 52. La REA a retenu ce montant en se fondant sur le questionnaire employeur complété le 19 juin 2018 par D.________ ; il ne prête pas le flanc à la critique. bb) aaa) L’OAI a opéré sur le revenu d’invalide, fixé à 54'681 fr. 21, un abattement de 5 %. La réduction en question est appropriée compte tenu du large éventail d’activités simples et répétitives disponible sur le marché du travail équilibré. Elle tient compte des limitations fonctionnelles et de la reconnaissance d’une baisse de rendement de 20 % (cf. consid. 11c/cc ci-après), mais aussi du fait que l’intéressée est gauchère, son bras droit dominant n’étant pas atteint (TF 8C_48/2021 du 20 mai 2021 consid. 4.3.4 et les références ; 9C_386/2012 du 18 septembre 2012 consid. 5.2). bbb) En ce qui concerne les autres facteurs d’abattement allégués par la recourante, il y a lieu de relever que la recourante, née en 1970, est loin d’approcher de l’âge de la retraite et que ce critère, étranger à l’invalidité, ne constitue pas un facteur pertinent pour l’exercice de l’activité simple et légère exigible (ATF 138 V 457 consid. 3.1). S’agissant d’une activité simple et répétitive, les années de service ne constituent pas le seul critère de fixation du salaire dans une nouvelle profession, l’expérience acquise lors des précédentes activités professionnelles a une influence tout aussi importante. C’est pourquoi il convient ne nier l’influence de ce critère en l’espèce dans la mesure où les exigences d’un emploi dans ce secteur sont moins élevées et ne nécessite pas d’expérience préalable (ATF 126 V 75 consid. 5 b/bb ; TF  8C_883/2015 du 21 octobre 2016 consid. 6.3.2 ; 9C_874/2014 du 2 septembre 2015 consid. 3.3.2 et les références citées). On comprend mal pourquoi la recourante, de nationalité suisse, entend se prévaloir d’un abattement à ce titre qui n’est absolument pas pertinent. Quant au taux d’occupation, soit une allégation de 50 % pour la part active, il ne s’agit pas d’un obstacle dans les emplois exigibles. Les femmes exerçant une activité à temps partiel ne perçoivent en effet souvent pas un revenu moins élevé proportionnellement à celles qui sont occupées à plein temps (TF 9C_373/2019 du 18 juillet 2019 consid. 5.2 et les références ; 9C_273/2019 du 18 juillet 2019 consid. 6.2 ; 9C_751/2011 du 30 avril 2012 consid. 4.2.2 et les références). Dans ces circonstances, l’abattement retenu par l’intimé peut être confirmé. cc) Comme on l’a vu ci-dessus, une baisse de rendement de 20 % doit être admise sur le plan médical (cf. consid. 9c/aa ci-dessus). Non contesté, le recours à l’ESS peut aussi être confirmé. Le revenu d’invalide aurait dès lors dû être fixé à 43'744 fr. 97 (54'681 fr. 21 – 20 %), sur lequel il convient encore d’opérer un abattement de 5 % pour tenir compte des limitations fonctionnelles, ce qui aboutit à un revenu d’invalide de 41'557 fr. 72 et à un degré d’invalidité pour la part active de 29,2 % (41'557 fr. 72 ÷ 58'652 fr. 52). Dans la mesure où la part active est pondérée à 25 %, et en l’absence d’empêchement au plan ménager, il en résulte un degré d’invalidité de 7,3 % ([29,2 % × 25 %] + [0 % × 75 %] ; cf. consid. 4d ci-dessus) lequel, inférieur au seuil de 40 % (art. 28 al. 1 LAI), n’ouvre pas le droit à la rente. Au demeurant, même en tenant compte d’un statut d’active à 50 % et de ménagère à 50 %, ce qui serait pour le moins douteux (cf. consid. 7), le degré d’invalidité serait alors de 14,6 % ([29,2 % × 50 %] + [0 % × 50 %]) et ne permettrait pas non plus l’ouverture du droit à la rente.</w:t>
      </w:r>
    </w:p>
    <w:p>
      <w:r>
        <w:rPr>
          <w:b/>
        </w:rPr>
        <w:t>E. 12</w:t>
      </w:r>
    </w:p>
    <w:p>
      <w:r>
        <w:t>A titre de mesure d’instruction, la recourante a requis la mise en œuvre d’une nouvelle expertise pluridisciplinaire et d’une nouvelle enquête ménagère. Les éléments du dossier, aussi bien sur le plan médical que sur le plan économique, sont cependant suffisants pour permettre à la Cour de céans de se prononcer en connaissance de cause, si bien que l’on peut y renoncer par appréciation anticipée des preuves (ATF 145 I 167 consid. 4.1 ; 140 I 285 consid. 6.3.1).</w:t>
      </w:r>
    </w:p>
    <w:p>
      <w:r>
        <w:rPr>
          <w:b/>
        </w:rPr>
        <w:t>E. 13</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au demeurant non assistée,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