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643 vom 19. Dezember 2023</w:t>
      </w:r>
    </w:p>
    <w:p>
      <w:r>
        <w:t>VD Tribunal cantonal, 2023-12-19, FR</w:t>
      </w:r>
    </w:p>
    <w:p>
      <w:r>
        <w:rPr>
          <w:b/>
        </w:rPr>
        <w:t xml:space="preserve">Quelle: </w:t>
      </w:r>
      <w:r>
        <w:t>https://mcp.opencaselaw.ch/entscheid/vd_findinfo_Arr_t___2023___643</w:t>
      </w:r>
    </w:p>
    <w:p>
      <w:r>
        <w:t>FR: VD_FINDINFO Arrêt / 2023 / 643 du 19 décembre 2023</w:t>
      </w:r>
    </w:p>
    <w:p>
      <w:r>
        <w:t>IT: VD_FINDINFO Arrêt / 2023 / 643 del 19 dicembre 2023</w:t>
      </w:r>
    </w:p>
    <w:p>
      <w:pPr>
        <w:pStyle w:val="Heading2"/>
      </w:pPr>
      <w:r>
        <w:t>Regeste</w:t>
      </w:r>
    </w:p>
    <w:p>
      <w:r>
        <w:t>ENQUÊTE SUISSE SUR LA STRUCTURE DES SALAIRES{ESS}, MESURE D'ORDRE PROFESSIONNEL, ÉVALUATION DE L'INVALIDITÉ, REJET DE LA DEMANDE | 17 al. 1 LAI, 4 LAI, 16 LPGA, 8 al. 1 LPGA</w:t>
      </w:r>
    </w:p>
    <w:p>
      <w:pPr>
        <w:pStyle w:val="Heading2"/>
      </w:pPr>
      <w:r>
        <w:t>Volltext</w:t>
      </w:r>
    </w:p>
    <w:p>
      <w:r>
        <w:t>Vaud Tribunal cantonal Cour des assurances sociales Arrêt / 2023 / 643</w:t>
      </w:r>
    </w:p>
    <w:p>
      <w:r>
        <w:t>ENQUÊTE SUISSE SUR LA STRUCTURE DES SALAIRES{ESS}, MESURE D'ORDRE PROFESSIONNEL, ÉVALUATION DE L'INVALIDITÉ, REJET DE LA DEMANDE | 17 al. 1 LAI, 4 LAI, 16 LPGA, 8 al. 1 LPGA</w:t>
      </w:r>
    </w:p>
    <w:p>
      <w:r>
        <w:t>TRIBUNAL CANTONAL AI 258/22 - 355/2023 ZD22.039805 COUR DES ASSURANCES SOCIALES _____________________________________________ Arrêt du 19 décembre 2023 __________________ Composition :              Mme Berberat , présidente Mme Gauron-Carlin, juge, et M. Chevalley, assesseur Greffier : M.              Dutoit ***** Cause pendante entre : E.________ , à [...], recourant, représenté par CAP, Compagnie d'Assurance de Protection Juridique SA, à Etoy, et Office de l'assurance-invalidité pour le canton de Vaud , à Vevey, intimé. _______________ Art. 8 al. 1 et 16 LPGA ; art. 4 et 17 al. 1 LAI E n  f a i t  : A. E.________ (ci-après : l’assuré ou le recourant), né en 19[...], est titulaire d’un CFC de mécanicien automobile obtenu en [...] et a suivi différents cours de formation continue propres à ce domaine. Après avoir œuvré comme responsable d’un service des ventes pendant treize mois, puis comme chef d’exploitation et chef d’un service des ventes pendant cinq mois, il a débuté une activité en qualité de chef d’atelier le [...] 2017 auprès de [...] SA à [...] et a été licencié avec effet au [...] 2019 à la suite d’une incapacité de travail de douze mois consécutive à un burn-out. Il a ensuite bénéficié des prestations de l’assurance-chômage et émarge actuellement à l’aide sociale. Le 14 décembre 2021, l’assuré a déposé une demande de prestations de l’assurance-invalidité (ci-après : l’AI) auprès de l’Office de l’assurance-invalidité pour le canton de Vaud (ci-après : l’OAI ou l’intimé). Il a fait valoir une incapacité de travail totale du 29 décembre 2020 au 22 février 2021 puis dès le 4 octobre 2021. A l’appui de sa demande, il a produit un rapport d’IRM cervicale du 15 octobre 2021 faisant état d’une double hernie discale C5-C6 et C6-C7, ainsi qu’un rapport du 3 décembre 2021 rédigé par le Dr O.________, spécialiste en neurochirurgie, indiquant qu’il a présenté deux épisodes de cervico-brachialgies droites et que le second épisode de douleurs irradiant depuis la nuque dans le bras était survenu en lien avec une nouvelle activité professionnelle dans une boulangerie, qu’il avait cessée. Ce médecin a ajouté qu’il n’y avait pas lieu d’envisager une intervention neurochirurgicale au niveau de la colonne cervicale, étant donné que les douleurs de l’intéressé avaient clairement diminué en intensité. Toutefois, une reconversion professionnelle dans une activité exigeant peu d’efforts au niveau de la musculature para-cervicale était conseillée sur le long terme afin de diminuer les risques de récidive. Par communication du 31 janvier 2022, l’OAI a informé l’assuré de la mise en place d’une mesure d’intervention précoce sous la forme de modules externalisés comprenant un entretien d’évaluation, un bilan et une préparation à un emploi ou à un stage. Par courrier du 1 er février 2022, l’assuré a complété sa demande et a produits divers documents, dont des certificats de travail. Dans un compte-rendu d’entretien d’évaluation du 22 février 2022, le prestataire de la mesure d’intervention précoce a indiqué que l’assuré, à la fin de l’année 2020, postérieurement à son licenciement alors qu’il travaillait comme chef d’atelier, avait fait une chute et s’était blessé au bras droit. Cette chute avait « inflammé ses cervicales », provoquant des douleurs au niveau du bras droit et de la nuque qu'un traitement physiothérapeutique et médicamenteux avait permis de diminuer. Six mois plus tard, alors que l’intéressé avait débuté un stage dans une usine de pain, les douleurs étaient revenues après une semaine et demie d’activité. Par courriel du 3 mars 2022 adressé à l’OAI, le prestataire de la mesure d’intervention précoce a indiqué qu’il mettait fin à son intervention, l’assuré ne souhaitant pas continuer le suivi pour des raisons de santé. Par communication du 8 mars 2022, l’OAI a informé l’assuré qu’il n’y avait pas lieu de mettre en place des mesures d’intervention précoce, ce dernier ne le souhaitant pas, et que des mesures de réadaptation n’étaient pas envisageables pour l’instant. Dans un rapport du 22 mars 2022 adressé à l’OAI, le Dr O.________ a indiqué avoir vu le patient pour la dernière fois le 30 novembre 2021 et a réitéré la teneur de son appréciation du 3 décembre 2021. En outre, il a précisé que la double hernie discale C5-C6 et C6-C7 que présentait l’assuré datait de l’hiver 2020 et que ce dernier avait présenté un second épisode en septembre 2021. Dans un rapport du 28 mars 2022, la Dre G.________, spécialiste en médecine interne générale et médecin traitante, a exposé que l’assuré avait présenté deux épisodes de cervico-brachialgies droites, ainsi qu’une double hernie discale C5-C6 et C6-C7. Elle a précisé que les douleurs irradiant depuis la nuque dans le bras droit avaient cessé en novembre 2021 avec l’arrêt de l’activité en boulangerie et la physiothérapie. Elle a retenu des limitations fonctionnelles concernant le port de charges lourdes et l’utilisation de la musculature para-cervicale. S’agissant de la capacité de travail, elle était nulle dans l’activité habituelle depuis le 4 octobre 2021, mais entière dans une activité adaptée, probablement à compter de l’été 2022, renvoyant sur ce point à l’avis du Dr O.________. Dans un compte-rendu d’un entretien avec le Service médical régional de l’AI (SMR) du 27 avril 2022, l’OAI a retenu que l’assuré présentait une capacité de travail entière dans une activité adaptée à ses limitations fonctionnelles, sans grands efforts au niveau de la musculature para-cervicale et sans port de charges lourdes. Dans un rapport final de réadaptation du 22 juin 2022, un spécialiste en réinsertion professionnelle de l’OAI a estimé que les limitations fonctionnelles de l’assuré lui permettaient de poursuivre son activité habituelle de chef d’atelier dans une moyenne ou grande entreprise avec une pleine capacité de travail, ce genre de poste n’exigeant pas de travailler directement sur les véhicules, comme le montraient les différents certificats de travail produits à l’occasion de la demande de prestations. S’agissant du revenu sans et avec invalidité, un montant de 72'149 fr. par an a été retenu pour chacun de ces deux volets. Il résultait en outre de la fiche de calcul du degré d’invalidité établie le même jour que l’assuré pouvait effectuer une activité de service après-vente ou un travail simple dans le domaine industriel léger, comme le montage, le contrôle ou la surveillance d’un processus de production, ou comme ouvrier à l’établi dans des activités simples et légères. Le revenu sans invalidité et le revenu avec invalidité ont été déterminés au moyen de l’Enquête suisse sur la structure des salaires (ESS) 2018, indexée à l’année 2022 pour 42 heures 30 hebdomadaires, soit le revenu réalisé par un homme dans le domaine du commerce et de la réparation d’automobiles, niveau de compétence 2. Par ailleurs, ce salaire correspondait aux montants portés au compte individuel AVS de l’intéressé. Par projet de décision du même jour, l’OAI a fait part à l’assuré de son intention de lui dénier le droit à une rente et à des mesures professionnelles. Il a considéré que la capacité de travail de ce dernier était entière dans toutes les activités qui respectaient ses limitations fonctionnelles, soit sans efforts au niveau de la musculature para-cervicale, et que son activité habituelle de chef d’atelier respectait ses limitations. S’agissant du droit aux mesures professionnelles, l’OAI a retenu qu’il n’existait pas, le seuil de 20 % au moins de manque à gagner durable n’étant pas atteint. Le 5 août 2022, par l’intermédiaire de son mandataire, CAP, Compagnie d'Assurance de Protection Juridique SA, l’assuré a adressé ses objections à l’encontre du projet de décision précité. Il a fait valoir qu’il n’était pas en mesure d’exercer son activité habituelle de chef d’atelier. Il a soutenu que son dernier emploi en qualité de chef d’atelier remontait au début de l’année 2019, voire à l’été 2018, étant en incapacité de travail depuis lors et que, compte tenu de son absence prolongée du marché du travail, ses probabilités de retrouver un tel emploi étaient très minces, voire inexistantes, comme le démontraient les nombreuses postulations effectuées pendant sa période de chômage de deux ans. S’agissant du calcul du degré d’invalidité, il a considéré que l’OAI n’aurait pas dû recourir aux valeurs statistiques, mais se baser sur le revenu perçu lors de son dernier emploi, soit 84'500 fr. par an selon le contrat de travail joint, puis adapter ce montant au renchérissement et à l’évolution des salaires. Quant au calcul du revenu avec invalidité, l’intéressé a estimé qu’un salaire de chef d’atelier ne pouvait pas être retenu au motif qu’il devait se réinsérer dans une nouvelle activité pour laquelle il n’avait aucune expérience. Par courrier du 23 août 2023, l’OAI a indiqué à l’assuré que ses objections n’apportaient pas d’élément susceptible de mettre en doute le bien-fondé de sa position. Par décision du 2 septembre 2022, l’OAI a refusé d’octroyer à l’assuré des prestations d’assurance, conformément à son projet de décision. B. Par acte du 4 octobre 2022, sous la plume de son mandataire, E.________ a recouru auprès de la Cour des assurances sociales du Tribunal cantonal à l’encontre de la décision précitée, en concluant principalement à sa réforme en ce sens qu’il soit mis au bénéfice des prestations légales, notamment par l’octroi de mesures d’ordre professionnel, subsidiairement à l’annulation de la décision et au renvoi de la cause à l’intimé pour instruction complémentaire et nouvelle décision dans le sens des considérants. Il a réitéré les arguments formulés dans ses objections, critiquant le calcul des revenus sans et avec invalidité. Il a ajouté, concernant l’exercice de l’activité habituelle, que l’intimé confondait la notion de « métier » avec celle de « fonction ». Il a expliqué que son métier était mécanicien automobile avec CFC et que l’activité de chef d’atelier était une fonction exercée au sein d’une entreprise. S’agissant du revenu sans invalidité, il a soutenu que les montants portés à son compte individuel AVS n’étaient pas représentatifs de ses revenus réalisés lorsqu’il était en bonne santé et qu’il convenait de se fonder sur le salaire contractuel de sa dernière activité en qualité de chef d’atelier. L’intéressé a précisé que pour déterminer le revenu avec invalidité, il convenait de retenir un salaire statistique correspondant au revenu moyen d’un homme, tout secteur confondu, niveau de compétence 1, soit un montant de 5'261 fr., lequel devait encore être adapté au renchérissement et à l’évolution des salaires. Il a produit un lot de pièces sous bordereau, dont notamment les recherches d’emploi effectuées de février 2019 à juin 2021 et les décomptes de salaire de 2017 à 2019. Dans sa réponse du 13 décembre 2022, l’intimé a proposé le rejet du recours et le maintien de la décision attaquée. Par réplique du 25 janvier 2023, le recourant a maintenu sa position. Dupliquant le 14 février 2023, l’intimé a conclu derechef au rejet du recours. Il a produit une communication interne du 10 février 2023 rédigée par un spécialiste en réinsertion professionnelle relevant que des postes de travail en qualité de chef d’atelier et de chef d’équipe dans l’automobile étaient actuellement disponibles, comme le montraient les deux exemples d’offres d’emploi également joints.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singulièrement à une rente et à des mesures professionnelles.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En l’occurrence, la décision litigieuse rendue le 2 septembre 2022 fait suite à une demande de prestations déposée le 14 décembre 2021 en raison d’une d’une double hernie discale C5-C6 et C6-C7, ainsi que de deux épisodes de cervico-brachialgies droites remontant à l’hiver 2020. Dans la mesure où le droit hypothétique à la rente prend naissance six mois après le dépôt de la demande, le nouveau droit est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5.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l’ESS publiée tous les deux ans par l’Office fédéral de la statistique. 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l’ESS (ATF 143 V 295 consid. 2.2 et 129 V 472 consid. 4.2.1). c)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d)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6.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7. a) En l’espèce, le recourant ne remet pas en cause l’appréciation de sa situation médicale. b) Sur le plan somatique, le recourant a présenté deux épisodes de cervico-brachialgies droites en décembre 2020 et en septembre 2021, ainsi qu’une double hernie discale C5-C6 et C6-C, avec des douleurs irradiantes allant du cou au bras droit. Il dispose d’une capacité de travail entière dans une activité adaptée à ses limitations fonctionnelles, soit excluant le port de charges lourdes et les efforts au niveau de la musculature para-cervicale. Il sied de rappeler que le recourant, licencié avec effet au 31 janvier 2019 de son poste de chef d’atelier, a ensuite émargé à l’assurance-chômage. Le second épisode de cervico-brachialgies est intervenu dans le cadre de sa nouvelle activité professionnelle dans une boulangerie. En définitive, il n’a donc pas présenté d’atteinte sur le plan cervical lorsqu’il travaillait en qualité de chef d’atelier. c) Sur le plan psychiatrique, le recourant a fait un burn-out en 2018 qui a conduit à une incapacité de travail de douze mois dans son activité de chef d’atelier (cf. communication du 22 février 2022 rédigée par la prestataire de la mesure d’intervention précoce). Il n’existe à cet égard ni diagnostic, ni incapacité de travail actuellement attestée et l’intéressé ne se prévaut ni ne démontre qu’il présente une atteinte psychique. 8. a) Dans un premier moyen, le recourant critique les revenus avec et sans invalidité tels que retenus par l’intimé. S’agissant du revenu sans invalidité, il estime que le calcul doit être fondé sur le salaire fixé contractuellement lors de sa dernière activité de chef d’atelier, auprès de [...]. Il soutient ainsi que le montant de 84'500 fr. devait être retenu, puis adapté au renchérissement et à l’évolution des salaires. En l’occurrence, l’intimé s’est fondé, pour fixer le revenu sans invalidité du recourant, sur le salaire statistique auquel peut prétendre un chef d’atelier ou de service après-vente dans le domaine de la mécanique automobile. Il a retenu le montant que peuvent réaliser les hommes effectuant notamment des tâches pratiques, des tâches administratives ou utilisant des machines et appareils électroniques dans le commerce et la réparation d’automobiles (ESS 2018, TA1_tirage_skill_level, ligne 45, niveau de compétences 2), soit un revenu mensuel de 5'674 francs. Comme les salaires bruts standardisés tiennent compte d’un horaire de travail de 40 heures, ce revenu doit être adapté à la durée hebdomadaire usuelle dans les entreprises de cette division économique en 2018 (42.3 heures), soit 71'988 fr. 81. Ce montant doit encore être adapté à l’évolution des salaires de 2018 à 2022 (soit + 0,9 %, + 0,8 %, - 0,7 % et + 1,1 %), ce qui donne un revenu sans invalidité de 73’505 francs, et non de 72'149 fr. tel que retenu par l’intimé. Il sied de constater que le recourant n’a plus exercé son activité de chef d’atelier depuis le début de l’année 2018. L’employeur avait en effet résilié son contrat de travail avec effet au 31 janvier 2019, après que l’intéressé ait présenté une incapacité de travail pendant douze mois en raison d’un burn-out. Par la suite, l’intéressé a émargé à l’assurance-chômage, puis à l’aide sociale. Le premier épisode de cervico-brachialgies droites date du mois de décembre 2020. Le recourant ne réalisait donc plus le revenu contractuel dans sa dernière activité de chef d’atelier depuis près de deux ans au moment où il a présenté l’atteinte à la santé dont il se prévaut. Du reste, ce salaire statistique est similaire aux montants portés au compte individuel AVS du recourant. Dans ces conditions, il convient de constater que l’intimé a retenu à bon droit non pas le dernier salaire réalisé, mais le salaire auquel le recourant peut prétendre comme chef d’atelier ou chef de service après-vente dans le domaine de la mécanique automobile selon l’ESS 2018, ce qui correspond à un revenu de 73’505 fr. en 2022. b) Pour le calcul du revenu d’invalide, l’intimé a retenu que les limitations fonctionnelles du recourant ne l’empêchaient pas d’exercer son activité habituelle de chef d’atelier. L’argument du recourant selon lequel il ne serait pas en mesure d’exercer son activité habituelle de chef d’atelier en raison de son absence prolongée du marché du travail doit être rejeté. Comme le relève à juste titre le spécialiste en réinsertion de l’intimé dans sa communication du 10 février 2023, il existe des offres d’emploi dans ce domaine et les exemples produits à cet égard respectent les limitations fonctionnelles de l’intéressé. De surcroit, le spécialiste a indiqué qu’une activité de chef de service après-vente pouvait être exercée. Il convient de relever que le recourant a également travaillé dans la vente de véhicules dans deux emplois successifs, soit pendant une période totale de dix-huit mois, activité n’exigeant a priori pas le port de charges lourdes ni d’efforts au niveau de la musculature para-cervicale. Du reste, ces deux activités permettent d’obtenir un salaire équivalent à celui d’un chef d’atelier dans l’automobile (ESS, TA1_tirage_skill_level, niveau de compétences 2, ligne 45). Le salaire statistique appliqué dans le cas présent est ainsi suffisamment représentatif de ce que l’intéressé serait en mesure de réaliser dès lors qu'il recouvre un large éventail d'activités adaptées à ses compétences et à ses limitations fonctionnelles. En outre, la notion de marché du travail équilibré est un concept théorique et abstrait, de sorte qu’une longue absence du marché du travail n’est pas relevante (ATF 134 V 64 consid. 4.2.1 ; 110 V 273 consid. 4b). Il ne s’agit pas d’apprécier si un employeur est effectivement disposé à confier un travail au recourant, auquel cas l’absence de résultats lors des recherches d’emploi serait pertinente, mais uniquement d’apprécier si, compte tenu de son état de santé, ce dernier est à même d’exercer une activité déterminée (Michel Valterio, Commentaire de la Loi fédérale sur l’assurance-invalidité [LAI], Genève/Zurich/Bâle 2018, n° 65 ad art. 28a LAI). Le recourant fait en outre valoir que l’intimé a confondu « métier » et « fonction ». Il explique ainsi que son métier est mécanicien automobile avec CFC et que son activité de chef d’atelier est une fonction exercée dans une entreprise et non un métier, argument qu’il convient toutefois de rejeter. En effet, pour classer une activité dans l’ESS, il convient tout d’abord d’identifier la branche économique pertinente. Il s’agit ensuite de déterminer le niveau de compétence de l’intéressé, en mettant l’accent sur le type de tâches susceptibles d’être effectuées et le niveau de leur complexité au regard de ses qualifications (TF 8C_46/2018 du 11 janvier 2019 consid. 4.4). En revanche, que la dénomination de l’activité désigne un métier ou une fonction est à cet égard sans importance. c) En définitive, il convient, à l’instar de l’intimé, de retenir que la capacité de travail de l’intéressé dans son activité habituelle de chef d’atelier est entière. Le revenu d’invalide étant identique au revenu sans invalidité, l’invalidité du recourant est nulle, en l’absence de perte de gain. 9. Dans un second moyen, le recourant conclut à l’octroi de mesures d’ordre professionnel, singulièrement à l’octroi d’un reclassement professionnel .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Le reclassement visé par l’art. 17 LAI figure notamment parmi celles-ci.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9C_40/2013 du 28 juin 2013 consid. 5.2 et la référence citée ; I 552/06 du 13 juin 2007 consid. 3.1).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En l’espèce, le recourant ne remplit pas les conditions minimales permettant l’octroi d’une mesure de reclassement dès lors qu’il ne présente aucune diminution de sa capacité de gain. d) Partant, c’est à juste titre que l’intimé a, par la décision attaquée, refusé le droit du recourant à une mesure de reclassement professionnel. 10. a) En définitive,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2 septembre 2022 par l’Office de l'assurance-invalidité pour le canton de Vaud est confirmée. III. Les frais judiciaires, arrêtés à 600 fr. (six cents francs), sont mis à la charge de E.________. IV. Il n’est pas alloué de dépens. La présidente : Le greffier : Du L'arrêt qui précède, dont la rédaction a été approuvée à huis clos, est notifié à : ‑ CAP, Compagnie d'Assurance de Protection Juridique SA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