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62 vom 2. März 2023</w:t>
      </w:r>
    </w:p>
    <w:p>
      <w:r>
        <w:t>VD Tribunal cantonal, 2023-03-02, FR</w:t>
      </w:r>
    </w:p>
    <w:p>
      <w:r>
        <w:rPr>
          <w:b/>
        </w:rPr>
        <w:t xml:space="preserve">Quelle: </w:t>
      </w:r>
      <w:r>
        <w:t>https://mcp.opencaselaw.ch/entscheid/vd_findinfo_Arr_t___2023___62</w:t>
      </w:r>
    </w:p>
    <w:p>
      <w:r>
        <w:t>FR: VD_FINDINFO Arrêt / 2023 / 62 du 2 mars 2023</w:t>
      </w:r>
    </w:p>
    <w:p>
      <w:r>
        <w:t>IT: VD_FINDINFO Arrêt / 2023 / 62 del 2 marzo 2023</w:t>
      </w:r>
    </w:p>
    <w:p>
      <w:pPr>
        <w:pStyle w:val="Heading2"/>
      </w:pPr>
      <w:r>
        <w:t>Regeste</w:t>
      </w:r>
    </w:p>
    <w:p>
      <w:r>
        <w:t>ASSISTANCE JUDICIAIRE, REJET DE LA DEMANDE, APPRÉCIATION ANTICIPÉE DES PREUVES, ATTEINTE À LA SANTÉ PHYSIQUE, ATTEINTE À LA SANTÉ PSYCHIQUE, ÉVALUATION DE L'INCAPACITÉ DE TRAVAIL, COMPARAISON DES REVENUS | 28 LAI, 4 al. 1 LAI, 16 LPGA, 49 al. 3 LPGA, 6 LPGA, 7 LPGA, 8 al. 1 LPGA</w:t>
      </w:r>
    </w:p>
    <w:p>
      <w:pPr>
        <w:pStyle w:val="Heading2"/>
      </w:pPr>
      <w:r>
        <w:t>Erwägungen</w:t>
      </w:r>
    </w:p>
    <w:p>
      <w:r>
        <w:rPr>
          <w:b/>
        </w:rPr>
        <w:t>E. 15</w:t>
      </w:r>
    </w:p>
    <w:p>
      <w:r>
        <w:t>mars 2021 au 27 juin 2022, faisant état d’un temps total consacré à la présente procédure de 9 heures et 15 minutes.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recourant a interjeté recours au Tribunal cantonal le 15 mars 2021, à savoir plus de vingt mois après le prononcé de la décision de l’OAI, mais fait valoir que la décision attaquée ne lui a été notifiée que le 12 février 2021, suite à une interpellation de la part de son avocat. Arguant qu’il n’a pas pu interjeter recours plus rapidement par ignorance de la décision, il requiert une restitution du délai de recours. aa) Selon l’art. 60 al. 1 LPGA, le recours doit être déposé dans les trente jours suivant la notification de la décision sujette à recours. La notification irrégulière d’une décision ne doit entraîner aucun préjudice pour la personne assurée (art. 49 al. 3, troisième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111 V 149 consid. 4c). En effet, tant qu’elle ne lui a pas été notifiée, la décision n’est pas nulle mais simplement inopposable à celui qui aurait dû en être le destinataire et elle ne peut dès lors le lier (TF 8C_188/2007 du 4 mars 2008 consid. 4.1.2 et la référence). Néanmoins, une partie qui connaît ou doit connaître l’existence d’un prononcé la concernant mais qui n’entreprend aucune démarche pour en obtenir la communication agit de manière contraire à la bonne foi. Elle doit faire preuve de diligence et est tenue de se renseigner sur l’existence et le contenu de la décision dès qu’elle peut en soupçonner le prononcé, à défaut de quoi elle risque de se voir opposer l’irrecevabilité de son recours pour cause de tardiveté (ATF 134 V 306 consid. 4 ; TF 2C_318/2009 du 10 décembre 2009 consid. 3.3 et les références ; ATF 129 II 193 consid. 1 ; 119 IV 330 consid. 1c et TFA I 663/99 du 4 mai 2000 consid. 2a). Cela signifie notamment qu’une décision, fût-elle notifiée de manière irrégulière, peut entrer en force si elle n’est pas déférée au juge dans un délai raisonnable (SJ 2000 I p. 118). A cet égard, le Tribunal fédéral a, à plusieurs reprises, jugé que le délai de recours (de 30 jours) commence à courir une fois que le recourant pouvait de bonne foi prendre connaissance de la décision contestée en étant en possession de tous les éléments essentiels à la défense de ses intérêts – et non dès le moment où il apprend fortuitement l’existence de ladite décision (cf. TF 9C_639/2019 du 12 février 2020 consid. 4.3 et les références ; ATF 129 II 193 consid. 1 ; 102 Ib 91 consid. 3 ; TF 1C_150/2012 du 6 mars 2013 consid. 2.3). La preuve de la notification d’une décision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142 IV 125 consid. 4.3 ; 136 V 295 consid. 5.9). bb) En l’occurrence, le recourant et son mandataire exposent qu’ils ont appris pour la première fois, grâce à une interpellation de l’avocat le 6 février 2021 qu’une décision de refus de prestations avait été rendue à son encontre par l’OAI, et qu’ils n’avaient jamais reçu de décision à ce sujet auparavant. Bien que le troisième destinataire de la décision, à savoir la Fondation de prévoyance professionnelle de la société de travail temporaire R.________ l’a reçue en juillet 2019 (voir note d’entretien téléphonique du 13 avril 2021), aucun élément au dossier ne permet de retenir que le recourant et son mandataire auraient reçu ladite décision préalablement en été 2019, même s’il est douteux que les deux premiers plis aient été perdus par la Poste suisse à l’exception de la troisième enveloppe. Néanmoins, faute d’élément de preuve concret de l’envoi sous pli simple sans suivi, il convient de se fonder sur les explications du recourant et de son mandataire. Il convient toutefois de relever que le recourant – assisté d’un homme de loi à cette époque déjà – ont fait preuve d’une certaine légèreté en ne s’inquiétant de l’avancement du dossier qu’après vingt mois sans avoir effectué aucune démarche antérieurement au courrier du 6 février 2021. Même à admettre que la crise sanitaire liée au Covid-19 a notoirement engendré des retards dans le traitement des dossiers, il s’était écoulé déjà plus d’une demi-année avant le début de l’épidémie. Cela étant, le recourant a respecté les règles de la bonne foi, en requérant rapidement après la connaissance de l’existence de la décision, à savoir par correspondance du 6 février 2021, que l'intimé lui communique ladite décision, ce qui a été fait par courrier du 11 février 2021. Il convient donc de constater que la décision litigieuse a été notifiée le 12 février 2021 au mandataire du recourant. En expédiant l’acte de recours le 15 mars 2021 à la Cour de céans, le recourant a ainsi agi en temps utile – dans le délai de 30 jours dès la notification – auprès du tribunal compétent (art. 93 let. a LPA-VD [loi cantonale vaudoise du 28 octobre 2008 sur la procédure administrative ; BLV 173.36]). La restitution de délai requise est en conséquence sans objet. 2. Le litige porte sur le droit du recourant à des prestations de l’assurance-invalidité, singulièrement à une rente d’invalidité.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juin 2019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jusqu’au 31 décembre 2021,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d) Selon l’art.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5. a) Le recourant se plaint d’abord de l’appréciation erronée de son état de santé, faisant valoir que les limitations fonctionnelles qui ont été retenues ne lui permettent pas d’exercer une activité adaptée à 80 % dans l’industrie légère, singulièrement en respectant la contrainte d’alterner la position assis et debout qu’elle implique. A cet égard, il reproche à l’OAI de ne pas avoir tenu compte du rapport du 28 janvier 2019 du Dr E.________ concernant l’apparition de fourmillements chroniques, lequel avait pourtant souligné le caractère inadéquat du taux d’activité retenu mais aussi de l’activité adaptée qui lui était associée. Il soutient par ailleurs que l’OAI ne saurait se fonder exclusivement sur le rapport d’examen clinique rhumatologique du 6 mars 2019 du Dr H.________ sans autres considérations que les conclusions de ce médecin. La jurisprudence a posé des lignes directrices s’agissant de la manière d’apprécier certains types d’expertises ou de rapports médicaux. aa)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TF 8C_565/2008 du 27 janvier 2009 consid. 3.3.2). bb) Les SMR peuvent procéder eux-mêmes à des examens médicaux sur la personne assurée ; ils consignent les résultats de ces examens par écrit (art. 49 al. 2 RAI [règlement du 17 janvier 1961 sur l’assurance-invalidité ; RS 831.201]). Les rapports médicaux établis sur la personne par les SMR sont comparables aux expertises médicales indépendantes, réalisées par un expert externe à l’assureur, et peuvent avoir même valeur probante s'ils répondent aux exigences matérielles et formelles requises par la jurisprudence en la matière (ATF 135 V 254 consid. 3.3 et 3.4 ; 134 V 231 consid. 5.1 ; 125 V 351 consid. 3) et si le médecin du SMR ayant réalisé l’examen sur la personne dispose, comme tout expert, des compétences professionnelles nécessaires (ATF 137 V 210 consid. 1.2.1). cc) S’agissant des avis du SMR au sens des art. 59 al. 2 bis LAI (dans sa teneur en vigueur jusqu’au 31 décembre 2021)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TF 9C_165/2015 du 12 novembre 2015 consid. 4.3 ; Michel Valterio , Droit de l’assurance-vieillesse et survivants [AVS] et de l’assurance-invalidité [AI], 2011, p. 799 n os 2920 ss). dd) En l’occurrence, on ne saurait suivre le recourant lorsqu’il soutient que la décision entreprise repose uniquement sur le rapport d’examen clinique du 6 mars 2019 du Dr H.________ puisque celui-ci compile précisément l’ensemble des documents médicaux et discute sur près d’une demi-page le rapport du Dr E.________ du 28 janvier 2019. Pour le reste, les avis du Dr X.________, médecin auprès du SMR, ne se fondent pas sur des examens médicaux effectués sur la personne assurée mais font la synthèse des documents médicaux au dossier. En tant qu’ils indiquent à l’office intimé s’il y a lieu de compléter l’instruction et dans quelle mesure, ils remplissent les exigences légales et correspondent à leur but. Quant à l’appréciation de l’état de santé, le recourant se réfère au rapport du 28 janvier 2019 du Dr E.________ pour soutenir que l’OAI aurait sous-évalué l’importance de ses limitations fonctionnelles, lesquelles entraveraient, à son avis, toute activité légère, y compris dans une activité adaptée. Ce faisant, il se limite à contester en bloc la compatibilité de son état de santé avec toute activité légère, sans toutefois préciser en quoi celles retenues dans l’industrie légère (ouvrier d’usine pour les montages et/ou assemblages industriels ou dans des chaînes de production) seraient incompatibles avec ses limitations fonctionnelles, notamment celles décrites par son médecin traitant, le Dr E.________, lequel a au demeurant retenu un bon pronostic, mais craignait l’enkystement des douleurs. En l’absence de lésions clairement objectivables ou d’avis médical contraire, il convient d’admettre que les limitations fonctionnelles retenues sont, au degré de la vraisemblance prépondérante, compatibles avec une activité légère dans l’industrie légère au taux de 80 %. b) Le recourant considère que l’aggravation de son état de santé, singulièrement au niveau psychique depuis 2019, a été ignorée par l’office intimé, qui aurait dû requérir un complément d’instruction médicale à ce sujet afin de déterminer son état de santé et ses limitations fonctionnelles pour fixer l’éventuelle capacité de travail résiduelle et l’activité adaptée associée. aa)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bb) De fait, les éléments postérieurs au 26 juin 2019 – date de la décision dont est recours – ne sont pas déterminants en l’espèce et doivent faire l’objet d’une nouvelle demande de prestations, singulièrement en ce qui concerne l’accident à la main survenu le 18 juin 2021, mais aussi pour les troubles psychiques en tant qu’ils seraient à l’origine, selon le Dr W.________ (cf. rapport du 10 mars 2021), d’une incapacité totale de travail depuis le mois d’avril 2019 (début du délai d’attente d’une année pour le dépôt d’une nouvelle demande de prestations), ce que le recourant semble au demeurant avoir fait (cf. déterminations de l’OAI du 16 juin 2021). Cela étant, s’agissant de l’état de santé psychique, en tant que le recourant se prévaut du rapport du 10 mars 2021 du Dr W.________, psychiatre traitant, ce rapport ne lui est d’aucun secours puisqu’il décrit un état de santé de son patient « stationnaire » avec les diagnostics de trouble anxieux et dépressif mixte et d’état de stress post-traumatique. Le Dr W.________ fait certes état d’une capacité de travail nulle en toute activité, mais il sied de constater que ce médecin ne fait que relayer l’avis de son patient qui juge lui-même ne pas pouvoir conduire, ce qui au demeurant ne préjuge pas d’une incapacité de travail totale dans toute activité légère. Le médecin psychiatre ne discute pas – en sa qualité de thérapeute – quelles seraient les limitations fonctionnelles et la capacité de travail résiduelle, se contentant d’évoquer des « limitations psychiques » en raison d’un épuisement, d’une irritabilité, d’une nervosité et d’une perte de patience. Or de telles limitations ne sont pas discutées sous l’angle de leur nature éventuellement incapacitante. Quoi qu’il en soit, la fatigabilité a été prise en compte dans l’évaluation de la capacité de travail, fixée à 80 %. Il sied encore de souligner que, du point de vue somatique, le rapport du 1 er avril 2021 du Dr T.________ produit en réplique concerne des atteintes rachidiennes (lombo-pygialgies chroniques) et montre un status quo depuis 2017, sans aucune aggravation mise en évidence. 6. Le recourant conteste ensuite le calcul du degré d’invalidité, en reprochant à l’office intimé d’avoir retenu un revenu sans invalidité inférieur à ses possibilités de gain, et d’avoir en revanche surestimé le revenu d’invalide pour la comparaison des revenus, en omettant en particulier de procéder à un abattement.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[dans sa teneur en vigueur jusqu’au 31 décembre 2021]). Lorsque le revenu sans invalidité ne peut pas être déterminé en fonction de l’activité lucrative habituelle exercée avant l’atteinte à la santé, il convient de recourir à des données statistiques en se demandant quelle activité la personne assurée aurait effectué si elle était restée en bonne santé. On se référera en règle générale à l’Enquête suisse sur la structure des salaires (ci-après : l’ESS) publiée tous les deux ans par l’Office fédéral de la statistique. Comme le revenu sans invalidité, le revenu avec invalidité doit être évalué avant tout en fonction de la situation professionnelle concrète de la personne assurée. En l’absence d’un tel revenu, soit notamment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de l’ESS (ATF 143 V 295 consid. 2.2 et 129 V 472 consid. 4.2.1).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a) S’agissant du revenu sans invalidité, le recourant considère qu’il pouvait réaliser un gain annuel de l’ordre de 80'000 fr., de sorte que le montant de 57'815 fr. 99 est sensiblement sous-évalué. Il soutient qu’au vu des Conventions collectives de travail applicables avec le treizième salaire garanti, il devait objectivement réussir à dégager un salaire annuel brut de 75'000 à 80'000 francs. En l’espèce, le recourant a présenté une incapacité de travail totale à compter du 10 mars 2017, alors qu’il avait été engagé quelques jours auparavant par une entreprise de travail intérimaire pour une mission temporaire auprès de B.________. Antérieurement, il avait exercé comme salarié et indépendant, en tant que mécanicien automobile et électricien. Outre l’absence de formation certifiée, il apparaît que les activités professionnelles du recourant ont varié au fil du temps tout comme son statut à l’égard des assurances sociales (apprenti, salarié, indépendant et enfin, employé intérimaire). Dans ces conditions, il s’avérait difficile de fixer un revenu sans invalidité au regard d’un parcours professionnel aussi hétérogène, en sorte que c’est à bon droit que l’office intimé a fixé le revenu en question sur la base des statistiques salariales, méthode au demeurant consacrée par la jurisprudence. b) Quant au revenu avec invalidité, le recourant conteste aussi sa détermination hypothétique sur la base de l’ESS. Il fait valoir qu’il se trouve sans emploi sans faute de sa part et soutient qu’il faut valoriser son expérience professionnelle, en sorte qu’il convenait de déterminer le revenu d’invalide concrètement, en mettant en œuvre une expertise ou un stage d’un à deux mois auprès d’un Centre d’intégration et de formation professionnelle (Orif). Il est incontesté que l’assuré est sans emploi en raison de son état de santé. Il n’en demeure pas moins qu’il a refusé l’aide au placement proposée en 2019 par l’office intimé (cf. rapport final du 21 mai 2019). Sans activité professionnelle depuis 2017 et comme relevé ci-avant, avec des expériences variées non significatives, l’OAI n’avait d’autre choix que de se référer aux statistiques salariales en tenant compte d’une capacité de travail de 80 % dans une activité adaptée aux limitations fonctionnelles. En l’occurrence, le salaire de référence auquel peuvent prétendre les hommes, conformément au Tableau TA1_tirage_skill_level (secteur privé) de l’ESS 2018 est de 5'417 fr., part au treizième salaire comprise (niveau de compétences 1). Comme les salaires bruts standardisés tiennent compte d’un horaire de travail de quarante heures, soit une durée hebdomadaire inférieure à la moyenne usuelle dans les entreprises en 2018 (41,7 heures), ce montant doit être porté à 5'647 fr. 25, ce qui donne un salaire annuel de 67'766 fr. 65. Compte tenu d’une capacité de travail de 80 %, il s’élève à 54'213 fr. 35. c) Le recourant soutient en outre qu’il faudrait procéder à un abattement supplémentaire de 30 % sur le revenu d’invalide, afin de tenir compte du fait que ses possibilités concrètes de gain dans une activité adaptée sont réduites. S’agissant de l’abattement, il faut rappeler que le type d’activité visé par le tableau TA1_skill_level de l’ESS représente des activités généralement compatibles avec des limitations fonctionnelles légères. Dans ce contexte, seules les limitations fonctionnelles excédant les efforts qu’implique ordinairement pareilles activités peut justifier un abattement supplémentaire. En l’occurrence, on notera que le taux d'abattement de 5 % effectivement appliqué en faveur de l’assuré tient compte des limitations fonctionnelles, lesquelles ont été dûment prises en considération dans la diminution de la capacité de travail et du fait que l'assuré ne peut plus exercer une activité à plein temps. Pour le surplus, il ne ressort pas d’autre élément susceptible d’influer négativement sur les perspectives salariales du recourant, en lien avec des activités adaptées simples et ne nécessitant pas de formation spécifique. Ainsi, quand bien même il est de nationalité étrangère, il n’a pas présenté de problèmes d'intégration sociale particuliers, puisqu'il a été en mesure d’achever sa scolarité en Suisse et d’exercer diverses professions en étant même indépendant avant la survenance de ses problèmes de santé. Étant rappelé que le taux d’abattement ne saurait excéder 25 % (ATF 146 V 16 consid. 4.1 ; 126 V 75), il convient d’admettre que les limitations fonctionnelles du recourant ont déjà été dûment prises en considération dans la fixation de la capacité de travail dans une activité adaptée à un taux réduit de 80 %. Compte tenu d’un abattement de 5 %, le revenu d’invalide s’élève à 51'502 fr. 70. d) La comparaison d’un revenu sans invalidité de 57'815 fr. 99 avec un revenu d’invalide de 51'502 fr. 70 aboutit à un degré d’invalidité de 11 %. Le droit à une rente d’invalidité n’est donc pas ouvert (art. 28 al. 2 LAI dans sa teneur en vigueur jusqu’au 31 décembre 2021). 7. Le recourant requiert, à titre de mesures d’instruction, la mise en œuvre d’une expertise pluridisciplinaire. En l’état du dossier, l’instruction concernant l’état de santé et les limitations fonctionnelles du recourant est complète. La Cour de céans, procédant à une appréciation anticipée des preuves, rejette la réquisition, s’estimant suffisamment renseignée et la mesure sollicitée n’est pas de nature à ébranler sa conviction (sur l’appréciation anticipée des preuves, cf. ATF 145 I 167 consid. 4.1 ; 140 I 285 consid. 6.3.1 ; 130 II 425 consid. 2.1). 8. a) En définitive, le recours est rejeté et la décision du 26 juin 2019 est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N'obtenant pas gain de cause, le recourant, bien qu’assisté d'un mandataire professionnel, n'a pas droit à des dépens (art. 61 let. g LPGA ; art. 55 al. 1 LPA-VD). Cependant, le recourant bénéficie, au titre de l'assistance judiciaire, de la commission d'office d'un avocat en la personne de Me François Gillard. Le 27 juin 2022, celui-ci a produit une liste des opérations pour un total de 1'748 fr. 25. Or cette liste ne peut pas être intégralement suivie. Elle apparaît en effet légèrement excessive, dès lors que le mandataire représentait déjà le recourant au cours de la procédure administrative. Compte tenu de ce qui précède, une indemnité d’office de 1'500 fr. pour l’ensemble de l’activité déployée dans le cadre de la présente procédure constitue une participation équitable aux honoraires du conseil de la partie recourante (cf. art. 3 al. 2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