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618 vom 14. September 2023</w:t>
      </w:r>
    </w:p>
    <w:p>
      <w:r>
        <w:t>VD Tribunal cantonal, 2023-09-14, FR</w:t>
      </w:r>
    </w:p>
    <w:p>
      <w:r>
        <w:rPr>
          <w:b/>
        </w:rPr>
        <w:t xml:space="preserve">Quelle: </w:t>
      </w:r>
      <w:r>
        <w:t>https://mcp.opencaselaw.ch/entscheid/vd_findinfo_Arr_t___2023___618</w:t>
      </w:r>
    </w:p>
    <w:p>
      <w:r>
        <w:t>FR: VD_FINDINFO Arrêt / 2023 / 618 du 14 septembre 2023</w:t>
      </w:r>
    </w:p>
    <w:p>
      <w:r>
        <w:t>IT: VD_FINDINFO Arrêt / 2023 / 618 del 14 settembre 2023</w:t>
      </w:r>
    </w:p>
    <w:p>
      <w:pPr>
        <w:pStyle w:val="Heading2"/>
      </w:pPr>
      <w:r>
        <w:t>Regeste</w:t>
      </w:r>
    </w:p>
    <w:p>
      <w:r>
        <w:t>EXPERTISE PLURIDISCIPLINAIRE, FORCE PROBANTE, ÉVALUATION DE L'INCAPACITÉ DE TRAVAIL, INCAPACITÉ DE TRAVAIL, RENTE D'INVALIDITÉ, ÉVALUATION DE L'INVALIDITÉ | 28 LAI, 17 LPGA, 29bis RAI</w:t>
      </w:r>
    </w:p>
    <w:p>
      <w:pPr>
        <w:pStyle w:val="Heading2"/>
      </w:pPr>
      <w:r>
        <w:t>Erwägungen</w:t>
      </w:r>
    </w:p>
    <w:p>
      <w:r>
        <w:rPr>
          <w:b/>
        </w:rPr>
        <w:t>E. 21</w:t>
      </w:r>
    </w:p>
    <w:p>
      <w:r>
        <w:t>février 2023, lequel préconisait la réalisation d’une thermocoagulation ciblée sur L5-S1 à droite, ce qui consistait à introduire une aiguille au niveau de l’articulation en question afin de dénerver transitoirement les terminaisons juxta-articulaires L5-S1 du côté droit ; · le compte-rendu opératoire de cette intervention, réalisée à la Clinique V.________ le 5 avril 2023. L’assurée a également fourni une pièce relative à son indemnisation par la Y.________SA, ainsi que les correspondances échangées dès 2020, au motif d’erreurs médicales. Me Duc a, par ailleurs, produit une liste complémentaire de ses opérations réalisées entre le 7 juillet et le 18 août 2023. E n  d r o i t  : 1. La Cour des assurances sociales du Tribunal cantonal vaudois doit statuer à nouveau dans cette affaire, à la suite de l’arrêt du Tribunal fédéral du 6 juin 2023, rendu en la cause 9C_601/2022. 2. En substance, le Tribunal fédéral a considéré que la requête formulée par la recourante le 11 mai 2021 en vue d’une audience tendait certes à l’administration de preuves, mais également à ce que sa cause soit plaidée par l’intermédiaire de son avocat. En l'absence d'un motif qui s'opposait à la tenue d'une audience de débats publics et compte tenu de la demande de la recourante, il y avait lieu d'admettre que la procédure cantonale était entachée d'un vice de procédure. L’audience du 18 août 2023 a permis à la recourante de voir sa cause plaidée, de sorte qu’il y a lieu désormais de trancher le litige sur le fond. 3.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142 I 155 consid. 4.4.2 ; 134 V 418 consid. 5.2.1).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c) Le litige a pour objet le droit de la recourante à une rente entière de l’assurance-invalidité au-delà du 31 mars 2018, singulièrement l’appréciation de sa capacité résiduelle de travail et la valeur probante du rapport d’expertise du M.________SA. 4. Des modifications législatives et réglementaires sont entrées en vigueur au 1 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(ATF 144 V 210 consid. 4.3.1 ; 138 V 176 consid. 7.1 ; TF 9C_881/2018 du 6 mars 2019 consid. 4.1). 5.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c) A teneur de l’art. 28 al. 2 LAI (dans sa teneur en vigueur jusqu’au 31 décembre 2021),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6. a) Selon l’art. 29 bis RAI (règlement du 17 janvier 1961 sur l’assurance-invalidité ; RS 831.201),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b) L’art. 88 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Selon l’art. 88 a al. 2 RAI, si la capacité de gain ou la capacité d’accomplir les travaux habituels de l’assuré se dégrade, ou si son impotence ou encore le besoin de soins ou le besoin d’aide découlant de son invalidité s’aggrave, ce changement est déterminant pour l’accroissement du droit aux prestations dès qu’il a duré trois mois sans interruption notable. c) La survenance de l’invalidité doit en principe être déterminée eu égard à chaque catégorie de prestations séparément. Il peut se produire une succession de causes d’invalidité différentes qui entraînent autant de survenances successives de l’invalidité. D’autre part, une seule et même cause d’invalidité peut entraîner au cours du temps plusieurs cas d’assurance. Le principe de l’unité du cas d’assurance n’est donc pas absolu et il cesse d’être applicable lorsque l’invalidité subit des interruptions notables ou lorsque l’évolution de l’état de santé ne permet plus d’admettre l’existence d’un lien de fait et de temps entre les différentes phases qui deviennent autant de cas nouveaux de survenance de l’invalidité (TF 9C_36/2015 du 29 avril 2015 consid. 5.2 ; cf. également : Michel Valterio, Droit de l’assurance-vieillesse et survivants (AVS) et de l’assurance-invalidité (AI), Genève, Zurich, Bâle, 2011, p. 342, n. 1234 et 11235). d) La règle de l’art. 29 bis RAI s’applique seulement lorsque l’atteinte à la santé qui donné naissance au droit s’est réactivée et provoque un regain d’invalidité de degré élevé qui a duré trente jours consécutifs au moins. Elle n’est en revanche pas applicable lorsque l’assuré, autrefois bénéficiaire d’une rente d’invalidité, subit une nouvelle invalidité à la suite d’une maladie ou d’un accident qui n’était pas à l’origine de l’invalidité pour laquelle la rente avait été précédemment allouée. Il en va de même lorsque la rente avait été refusée en raison d’un degré d’invalidité insuffisant et qu’il y a par la suite une aggravation de l’atteinte à la santé. Il s’agit alors d’un nouveau cas d’assurance, de sorte que le délai d’attente de trois cent soixante-cinq jours recommence à courir (cf. Michel Valterio, Commentaire de la loi sur l’assurance-invalidité, Genève/Zurich/Bâle 2018, n° 18 ad. art. 28 LAI, p. 393, et références citées). 7.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8. a) L'assuré peut soulever des motifs « formels » de récusation d’un expert, mais également des motifs « matériels » de récusation, soit tous motifs pertinents au sens de l’art. 44 LPGA. Les motifs de récusation qui sont énoncés dans la loi (cf. art. 10 PA [loi fédérale du 20 décembre 1968 sur la procédure administrative ; RS 172.021] et 36 al. 1 LPGA [intérêt personnel, lien de parenté, représentation d’une partie ou opinion préconçue pour une autre raison])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(ATF 137 V 210 consid. 3.4.2 ; 132 V 93 consid. 6.5 ; TF 9C 293/2008 du 28 janvier 2009 consid. 2 et 3). b)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 TF 9C_293/2008 du 28 janvier 2009 précité). 9. En l’occurrence, la recourante estime que le rapport d’expertise du M.________SA devrait être écarté, soulignant notamment son « impression que le M.________SA est à la solde de l’Office AI et rend des expertises volumineuses, incomplètes et partiales ». On ne saurait, à l’évidence, conclure à la partialité des experts concernés sur la base des seuls arguments avancés par la recourante, fondés précisément sur ses impressions, et non sur des éléments objectifs, en dépit des exigences posées par la jurisprudence fédérale précitée. S’agissant au surplus du volume du rapport d’expertise incriminé, on observe que celui-ci contient une septantaine de pages d’analyse et un nombre conséquent d’annexes, les experts ayant recueilli diverses pièces médicales supplémentaires, en sus d’avoir requis un examen neurologique auprès du Dr X.________. Compte tenu de la pluralité des disciplines médicales investiguées et du long historique médical de la recourante, il n’apparaît pas que le rapport des spécialistes du M.________SA puisse être qualifié de prolixe. Sa valeur probante sera au demeurant examinée dans les considérants ci-après. 10. La recourante a fait l’objet d’une expertise pluridisciplinaire sur les plans de la médecine interne, psychiatrique et orthopédique au sein du M.________SA. Les volets de médecine interne et de psychiatrie ne prêtent pas flanc à la critique. On peut remarquer que les spécialistes du M.________SA ont procédé à des examens approfondis de la situation, retraçant notamment l’ensemble des pathologies affectant ou ayant affecté la recourante. Ils ont considéré que la recourante ne rencontrait aucune limitation psychique en dépit d’un trouble de la personnalité (trouble mixte de la personnalité, à traits immatures, dépendants et alexithymiques), ni aucune restriction du registre de la médecine interne. Cette appréciation n’est pas sérieusement remise en question par la recourante et peut être confirmée, celle-ci ne bénéficiant au demeurant d’aucun suivi spécialisé, hormis sur le plan orthopédique, singulièrement neurochirurgical. On ajoutera que le diagnostic d’un état de stress post-traumatique, évoqué par le mandataire de la recourante lors de l’audience du 18 août 2023, ne repose sur aucun élément clinique et n’a été posé par aucun spécialiste en psychiatrie, ni même aucun des médecins traitants de la recourante. Il peut donc être écarté sans plus ample examen. 11. a) Le volet orthopédique a été analysé par le Dr P.________ pour le compte du M.________SA, lequel s’est adjoint les services du Dr X.________ pour procéder à un examen neurologique du nerf fémoro-cutané et s’est procuré les documents médicaux actualisés relatifs aux problèmes rencontrés par la recourante au membre supérieur droit (coude et épaule ; cf. rapport du Dr X.________ du 12 décembre 2019 à la Dre T.________, ainsi que compte-rendu opératoire du Dr N.________ du 16 décembre 2019). b) La recourante reproche à l’expert d’avoir « omis de procéder à l’examen de l’ensemble des clichés radiologiques ». On ne saurait prendre en compte ce grief, étant rappelé que l’expert du M.________SA était en possession de l’intégralité du dossier de la recourante, parmi lesquels figurent non seulement les rapports radiologiques, mais également ceux des spécialistes assurant son suivi (cf. rapport d’expertise pluridisciplinaire du 30 janvier 2020, Annexe 1, Résumé du dossier de la personne assurée). Au demeurant, le Dr P.________ s’est rallié aux diagnostics retenus par les spécialistes traitants en prenant en considération ceux de failed back surgery et de tendinopathie du sus-épineux avec arthrose acromio-claviculaire. On soulignera que le diagnostic de failed back surgery, quoi qu’en dise la recourante, apparaît bien correspondre à la symptomatologie qu’elle présente, à savoir des douleurs iatrogènes consécutives à des interventions chirurgicales. Il n’y a par conséquent pas lieu de remettre en question le diagnostic précité. c) La recourante estime que les experts du M.________SA auraient dû procéder à une expertise neurologique « vu les atteintes neurologiques au niveau du rachis avec déficit objectivé ». Cela étant, ainsi qu’il a déjà été observé, le Dr P.________ a requis les services du Dr X.________, spécialiste en neurologie, pour un complément d’examen. On rappellera en outre que le M.________SA disposait de l’ensemble des rapports du Dr L.________, spécialiste en neurochirurgie, dont les observations ne sont nullement remises en question par les experts. On peut donc considérer qu’un volet neurologique spécifique aurait été superflu dans le cadre de l’expertise diligentée par l’intimé. d) Contrairement à ce que soutient la recourante, le Dr P.________ a détaillé précisément les limitations fonctionnelles retenues, comme suit (cf. rapport d’expertise précité, Expertise spécialisée orthopédique, p. 60) : « […] Profil d’effort actuel avec des limitations fonctionnelles La personne assurée est capable d’effectuer un travail en alternant les positions assise/debout toutes les 45 minutes. Elle doit pouvoir bénéficier 2 fois par jour de 30 minutes de pause en plus, avec une place de travail ergonomique, La place de travail doit être adaptée, avec une chaise haute et un plateau de travail plus haut (mobile). Les charges sont limitées à 5 kg de manière non itérative, sans qu’il y ait de charge en flexion antérieure du rachis. Les travaux en position accroupie et les charges au-dessus de la ceinture scapulaire sont exclus à titre préventif. La marche en terrain inégal, les escaliers de manière itérative, les échelles et les échafaudages sont exclus. […] » e) Etant donné les éléments ci-dessus, on peut écarter l’ensemble des reproches formulés par la recourante en lien avec l’analyse du volet orthopédique de sa situation. 12. Par conséquent, il n’y a pas lieu de douter de la valeur probante des conclusions consensuelles communiquées par les spécialistes du M.________SA. Quoi qu’en dise la recourante, la capacité de travail évaluée par les experts n’apparaît pas particulièrement abstraite, dans la mesure où ceux-ci se sont précisément fondés sur l’historique médical de la recourante et sur les rapports de ses médecins traitants versés à son dossier. On peut ainsi, à l’instar de l’intimé, se rallier à leurs conclusions à la date du rapport d’expertise. 13. a) Au demeurant, les informations médicales transmises ultérieurement par la recourante ont été dûment prises en compte par le SMR dans ses avis des 29 octobre 2020 et 4 février 2021. Le SMR a ainsi retenu des incapacités totales de travail des suites des opérations de l’épaule et du coude droits, en se ralliant aux évaluations des Drs N.________ et T.________ (cf. rapports des 15 juillet, 28 septembre et 4 novembre 2020). Quant aux rapports subséquents du Dr L.________, ce dernier a relaté une situation globalement stable, en dépit d’une symptomatologie douloureuse cervico-lombaire et sacro-iliaque. Il a certes objectivé une double discopathie C5-C6 et C6-C7 postérieurement à la décision attaquée, sans qu’on ne puisse toutefois définir de nouvelles limitations fonctionnelles entravant objectivement la capacité de travail résiduelle de la recourante (cf. rapports des 29 juin et 12 octobre 2020). On remarque, à l’inverse de ce que soutient la recourante, que le Dr L.________ s’est limité à rapporter les propos de sa patiente quant à ses douleurs et à ses difficultés à se projeter dans une activité lucrative, sans réellement fournir une appréciation médicale objective de sa capacité résiduelle de travail (cf. rapport du 27 janvier 2022). Ces éléments sont insuffisants pour remettre en question l’appréciation de l’intimé, fondée sur les conclusions du M.________SA et sur les observations communiquées par les autres spécialistes traitants de la recourante. b) On ajoutera que les pièces médicales produites au cours de l’audience du 18 août 2023, postérieures à la décision entreprise de près de deux ans, ne justifient pas une appréciation différente du cas de la recourante. On relèvera que ces pièces font état, pour l’essentiel, de l’aggravation des lésions dégénératives, ce qui constitue l’évolution naturelle de telles affections, et d’un traitement destiné à soulager la symptomatologie présentée en L5-S1. On ne voit donc pas que la recourante serait affectée par de nouvelles atteintes à la santé, inconnues de l’intimé à la date de la décision litigieuse. 14. On peut en définitive considérer que la capacité de travail de la recourante et ses fluctuations ont été correctement prises en compte par l’intimé aux termes de la décision du 8 avril 2021. C’est donc à bon droit que l’intimé a servi à la recourante une rente entière d’invalidité, fondée sur un degré d’invalidité de 100 % du 1 er juillet 2017 au 31 mai 2019, sur la base des art. 28 al. 2 LAI et 88 a RAI. On ajoutera que l’intimé a, à juste titre, fait application de l’art. 29 bis RAI en retenant des reprises d’invalidité pour les incapacités totales de travail débutées les 1 er juin et le 23 novembre 2018 (cf. consid. 4d supra). Il a par ailleurs légitimement qualifié les atteintes de l’épaule et du coude droits – traitées respectivement du 16 décembre 2019 au mois de juillet 2020 et du 17 août au 28 septembre 2020 – de nouveaux cas d’assurance (cf. consid. 4c supra). Il était dès lors fondé à constater que le délai de carence d’un an prévu à l’art. 28 al. 1, let. b, LAI n’était pas échu, ce qui excluait le droit à une rente pour ces intervalles. 15. a) Selon l’art. 28a al. 1 LAI (dans sa teneur en vigueur jusqu’au 31 décembre 2021), l’art. 16 LPGA s’applique à l’évaluation de l’invalidité des assurés exerçant une activité lucrative (méthode générale de comparaison des revenus et ses sous-variantes : méthode de comparaison en pour-cent [ATF 114 V 310 consid. 3a et les références] et méthode extraordinaire de comparaison des revenus [ATF 128 V 29]) .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b) On relèvera que l’intimé a fait usage de la méthode de comparaison en pour-cent pour déterminer le degré d’invalidité de la recourante. Ce procédé n’apparaît pas critiquable, dans la mesure où celle-ci est dotée d’une capacité résiduelle de travail de 85 % dans son activité habituelle, dans laquelle elle peut se prévaloir d’un CFC et de nombreuses années d’expérience. Cela étant, si l’on devait évaluer le degré d’invalidité de la recourante dans une activité lucrative dite adaptée, en procédant à une comparaison de revenus, on n’aboutirait pas davantage au seuil de 40 % lui ouvrant le droit à une rente d’invalidité. aa) S’agissant du revenu sans invalidité, la société G.________SA a indiqué qu’en 2016, l’assurée aurait réalisé un revenu annuel de 62'660 francs (cf. rapport d’employeur du 4 juillet 2017). Après indexation à l’année 2018 au moyen de l’ISS (+ 0,4 % en 2017 et + 0,5 % en 2018 ; tableau T39 « Evolution des salaires nominaux, des prix à la consommation et des salaires réels 1993-2019 »), on obtiendrait un revenu annuel de 63’225 francs. bb) S’agissant du revenu d’invalide, il y aurait lieu de se référer à l’Enquête suisse sur la structure des salaires (ESS) 2018. Le salaire de référence pour une femme, tous secteurs d’activités confondus, dans une activité ne nécessitant pas de compétences professionnelles particulières, s’élevait à 4’414 fr. par mois, part au treizième salaire comprise (ESS 2018, tableau TA1_tirage_skill_level, niveau de compétence 1), soit 55’219 fr. par an pour une activité exercée à 100 %, compte tenu de la durée hebdomadaire de travail de 41,7 heures dans les entreprises (cf. Indicateurs du marché du travail 2019 ; TA2.1). Compte tenu d’une exigibilité réduite à 85 % en raison de la baisse de rendement et d’un abattement de 10 % destiné à prendre en considération la situation personnelle de la recourante, le revenu d’invalide déterminant se monterait au minimum à 42'243 francs. cc) Le degré d’invalidité de la recourante s’élèverait par conséquent au plus à 33 % ([63’225 – 42’243 x 100] / 63’225), ce qui exclurait de toute façon le droit à une rente d’invalidité (cf. art. 28 al. 2 LAI dans sa teneur en vigueur au 31 décembre 2021). 16. a) En définitive, le recours, mal fondé, doit être rejeté et la décision de l’intimé du 8 avril 2021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Ils sont toutefois provisoirement laissés à la charge de l’Etat, puisqu’elle a été mise au bénéfice de l’assistance judiciaire par décision du 20 juillet 2021. c) En outre, n’obtenant pas gain de cause, la recourante ne saurait prétendre des dépens (art. 55 al. 1 LPA-VD et art 61, let. g, LPGA). d) Me Duc a été désigné en qualité d’avocat d’office à compter du 11 mai 2021 jusqu’au terme de la procédure (art. 118 al. 1, let. c, CPC [Code de procédure civile du 19 décembre 2008 ; RS 272], applicable par renvoi de l'art. 18 al. 5 LPA-VD). Il a produit le relevé des opérations effectuées le 31 octobre 2022, justifiant 7 heures et 40 minutes de travail au profit de sa cliente. Les opérations comptabilisées entrent dans le champ temporel et matériel du mandat confié à Me Duc. Dès lors, il y a lieu de prendre en considération 7 heures et 40 minutes au tarif horaire de 180 fr. (art. 2 al. 1, let. a et b, RAJ [règlement cantonal vaudois du 7 décembre 2010 sur l'assistance judiciaire civile ; BLV 211.02.3]), Quant aux opérations effectuées entre le 7 juillet et le 18 août 2023, le temps total comptabilisé par Me Duc à hauteur de 4 heures et 25 minutes peut être ramené à un total de 3 heures, ce qui tient compte adéquatement de l’étude du dossier, de la reprise des arguments précédemment avancés au stade du mémoire de recours du 11 mai 2021 et de l’audience du 18 août 2023. C’est en définitive un total de 10 heures et 40 minutes qu’il s’agit de retenir au tarif horaire de 180 francs. Il convient d’ajouter des débours à concurrence de 96 fr. et la TVA au taux de 7,7% à hauteur de 155 fr. 25, ce qui représente un montant total de 2’171 fr. 25 pour l'ensemble des opérations assumées dans la présente cause. Cette rémunération est provisoirement supportée par le canton, dont la subrogation demeure réservée (cf. art. 122 al. 2 in fine CPC, également applicable sur renvoi). Il est précisé ici que l’arrêt cantonal du 24 novembre 2022 (en la cause AI 181/21 – 355/2022) avait comptabilisé un montant de 1'560 fr. 55 au titre des honoraires dus à Me Duc pour son intervention en faveur de la recourante, débours et TVA compris. Il y a lieu de retrancher ce montant de la somme due en l’état à l’intéressé pour autant qu’il ait d’ores et déjà été indemnisé à la suite de l’arrêt précité. e) La recourante est rendue attentive au fait qu'elle est tenue de rembourser la somme de 2’771 fr. 25 (2’171 fr. 25 + 600 fr.) dès qu'elle sera en mesure de le faire en vertu de l’art. 123 al. 1 CPC précité. Il incombera à la Direction du recouvrement de la Direction générale des affaires institutionnelles et des communes (auparavant : le Service juridique et législatif ;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