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577 vom 16. August 2023</w:t>
      </w:r>
    </w:p>
    <w:p>
      <w:r>
        <w:t>VD Tribunal cantonal, 2023-08-16, FR</w:t>
      </w:r>
    </w:p>
    <w:p>
      <w:r>
        <w:rPr>
          <w:b/>
        </w:rPr>
        <w:t xml:space="preserve">Quelle: </w:t>
      </w:r>
      <w:r>
        <w:t>https://mcp.opencaselaw.ch/entscheid/vd_findinfo_Arr_t___2023___577</w:t>
      </w:r>
    </w:p>
    <w:p>
      <w:r>
        <w:t>FR: VD_FINDINFO Arrêt / 2023 / 577 du 16 août 2023</w:t>
      </w:r>
    </w:p>
    <w:p>
      <w:r>
        <w:t>IT: VD_FINDINFO Arrêt / 2023 / 577 del 16 agosto 2023</w:t>
      </w:r>
    </w:p>
    <w:p>
      <w:pPr>
        <w:pStyle w:val="Heading2"/>
      </w:pPr>
      <w:r>
        <w:t>Regeste</w:t>
      </w:r>
    </w:p>
    <w:p>
      <w:r>
        <w:t>CURATEUR, INDEMNITÉ{EN GÉNÉRAL}, REJET DE LA DEMANDE | 404 CC, 319 CPC (CH)</w:t>
      </w:r>
    </w:p>
    <w:p>
      <w:pPr>
        <w:pStyle w:val="Heading2"/>
      </w:pPr>
      <w:r>
        <w:t>Erwägungen</w:t>
      </w:r>
    </w:p>
    <w:p>
      <w:r>
        <w:rPr>
          <w:b/>
        </w:rPr>
        <w:t>E. 1.1</w:t>
      </w:r>
    </w:p>
    <w:p>
      <w:r>
        <w:t>Le recours est dirigé contre une décision du juge de paix arrêtant l’indemnité due à E.________ pour son activité de curateur de représentation et de gestion d’A.________ pendant les années 2018 à 2020 .</w:t>
      </w:r>
    </w:p>
    <w:p>
      <w:r>
        <w:rPr>
          <w:b/>
        </w:rPr>
        <w:t>E. 1.2</w:t>
      </w:r>
    </w:p>
    <w:p>
      <w:r>
        <w:t>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applicables par renvoi de l'art. 450f CC (JdT 2020 III 181 ; Tappy, Commentaire romand, Code de procédure civile, Bâle 2019, 2 e éd., ci-après : CR-CPC, nn. 3 et</w:t>
      </w:r>
    </w:p>
    <w:p>
      <w:r>
        <w:rPr>
          <w:b/>
        </w:rPr>
        <w:t>E. 1.3</w:t>
      </w:r>
    </w:p>
    <w:p>
      <w:r>
        <w:t>En l’espèce, motivé et interjeté dans le délai de trente jours applicable à la procédure au fond (art. 450b al. 1 CC) - qui concerne une curatelle de représentation et de gestion instituée en faveur de la personne concernée - le présent recours est recevable. Le recourant a produit cinq pièces. Les pièces I, III et V sont recevables dans la mesure où elles figuraient déjà au dossier de première instance. En revanche, les pièces II et IV, hormis l’avis de prochaine clôture en ce qui concerne cette dernière pièce, sont nouvelles et dès lors irrecevables. 2.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et les références citées). Dans ce cadre, le pouvoir d’examen de la Chambre des curatelles est donc limité à l’arbitraire s’agissant des faits retenus par l’autorité précédente (TF 4D_30/2017 du 5 décembre 2017 consid. 2.2 et les références citées ; CCUR 2 juin 2022/90 ; CCUR 15 octobre 2021/213 consid. 2). 3. 3.1 3.1.1 Le recourant conteste le montant qui lui a été alloué pour les exercices comptables 2018 à 2020. Il reproche au premier juge d’avoir déduit de l’indemnité qui lui revenait certaines sommes qu’il avait prélevées sur les comptes de la personne concernée. Il affirme que le montant alloué ne correspond pas à l’ampleur et à la complexité des tâches réalisées dans le cadre de la curatelle et considère qu’il aurait dû être rémunéré selon les tarifs en usage dans la profession. Le recourant fait notamment grief au juge d’avoir retranché un montant total de 4'200 fr. pour les déclarations fiscales effectuées pour les années 2015 à 2019 (1'800 fr. valeur au 13 juillet 2018, 1'200 fr. valeur au 19 février 2020 et 1'200 fr. valeur au 10 septembre 2020) . Il estime que cette somme doit lui être payée intégralement en sus de son indemnité dès lors qu’A.________ était cliente de sa fiduciaire depuis 2015, qu’elle n’était pas sous curatelle au moment de la conclusion du mandat et que les déclarations fiscales 2015 et 2016 relèvent donc d’un mandat privé et non de son mandat de curateur. Il ajoute que c’est à tort que le juge a retenu qu’une partie substantielle de son activité pour établir les déclarations d’impôt 2015 à 2017 a été déployée alors qu’il était devenu curateur, aucun élément objectif ne permettant une telle appréciation. Il considère que la décision de réduire sa rémunération de 50% s’agissant de ces déclarations d’impôt est dénuée de fondement et arbitraire. Il affirme qu’il a pu établir les déclarations fiscales grâce à sa formation et son expérience et non parce qu’il a été désigné curateur. Il observe que les déclarations fiscales complexes comme celles de l’intéressée nécessitent des compétences supplémentaires pour répondre aux exigences légales en la matière et qu’il doit dès lors être rémunéré en conséquence. Le recourant soutient que son activité de représentation d’A.________ dans le cadre de la société S.________ relève sans conteste de son activité professionnelle, évoquant l’ampleur du travail et des responsabilités inhérentes à cette charge. Il en déduit que ses frais de représentant, par 2'100 fr., doivent être indemnisés spécifiquement. Enfin, le recourant réclame la somme de 1'200 fr. au titre de frais de transmission du dossier de curatelle au nouveau curateur (8h x 150 fr.). Il affirme qu’il s’agit d’une prestation de service effectuée par l’ancien curateur au bénéfice du nouveau curateur, désormais responsable de la gestion de la mesure, et qu’il est dès lors « raisonnable et justifié » qu’il puisse la facturer. 3.1.2 A.________ fait valoir que la transmission de l’entier de son dossier par le recourant a été « longue et scabreuse » et qu’il a fallu le relancer à plusieurs reprises pour obtenir certains documents. 3.2 3.2.1 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 L'art. 3 al. 3 RCur prévoit que si le travail effectif ne justifie pas que la rémunération soit fixée à un montant inférieur ou supérieur, la rémunération est arrêtée au minimum à 1'400 fr. et au maximum à 3 pour mille de la fortune de la personne concernée, comprenant les rentes et pensions à leur valeur de rachat, à l'exclusion toutefois des rentes AVS, Al et accidents ou d'autres caisses de même genre ainsi que des prestations d'aide sociale ou rentes complémentaires AVS/Al. Selon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CCUR 9 février 2021/38 consid. 4.1.1 ; CCUR 9 mai 2019/85 consid. 4.1 et les réf. cit.). Les débours font l'objet d'une liste de frais détaillée que le curateur présente à l'autorité compétente en même temps que son rapport annuel. Une justification sommaire suffit lorsqu'ils ne dépassent pas 400 fr. par an (art. 2 al. 3 RCur).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3.2.2 Aux termes de l'art. 454 CC, toute personne qui, dans le cadre de mesures prises par l'autorité de protection de l'adulte, est lésée par un acte ou une omission illicite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L'action récursoire contre l'auteur du dommage est régie par le droit cantonal (al. 4), soit, dans le canton de Vaud, par la loi sur la responsabilité de l'Etat, des communes et de leurs agents du 16 mai 1961 (LRECA, BLV 170.11 ; applicable par renvoi de l'art. 49 LVPAE). Les actions en responsabilité sont des contestations civiles, ce qui entraîne la compétence des tribunaux civils (Geiser, in Commentaire du droit de la famille [CommFam], Berne 2013, n. 34 ad art. 454 CC, p. 993 ; Steinauer/Fountoulakis, Droit des personnes physiques et de la protection de l'adulte, 2014, n. 1300a, p. 573 ; Meier, Droit de la protection de l'adulte, Articles 360-456 CC, 2 e éd., Genève/Zurich/Bâle 2022, n. 316 notule 535, p. 171). Il faut rappeler que l'autorité de protection n'a pas compétence d'ordonner la réparation du dommage causé par le tuteur ou le curateur, le juge ordinaire étant compétent ; elle peut cependant réduire, voire supprimer, l'indemnité allouée au curateur en cas de négligences avérées (cf. notamment CCUR 27 février 2023/43 ; CCUR 4 octobre 2022/166 ; CCUR 14 septembre 2022/157 ; CCUR 18 mars 2022/48 ). 3.3 En l’espèce, le recourant a été relevé de son mandat de curateur en raison des difficultés qu’il rencontrait dans l’exécution de celui-ci et de certains manquements constatés par l’autorité de protection, en particulier s’agissant de la remise des comptes annuels. Dans la décision attaquée, le juge de paix n’a toutefois pas explicitement diminué la rémunération due à E.________ pour ce motif. La question de savoir si ces manquements peuvent être considérés comme des négligences avérées peut être laissée ouverte, compte tenu de ce qui suit. Le recourant a été mandaté par la personne concernée en 2015, soit avant sa désignation en qualité de curateur le 11 janvier 2018. Cependant, comme il l’admet lui-même, il a été nommé curateur précisément parce qu’il n’arrivait pas à exécuter ses mandats, sa cliente ayant perdu sa capacité de discernement. Il avait donc besoin d’un mandat officiel pour accomplir sa mission. Après sa mise en œuvre, il ne pouvait être rémunéré que comme curateur et ne pouvait pas honorer des factures antérieures en exécutant un contrat passé avec lui-même, alors même que la personne concernée n’avait plus son discernement. Il faut ainsi considérer que l’ensemble des opérations effectuées par E.________ relève de son activité de curateur et doit être rémunéré par ce biais, et non en sus de son indemnité de curateur, même s’il s’est agi de remplir des déclarations fiscales pour des années antérieures. Reste à déterminer comment doit être calculée la rémunération du recourant. Conform ément aux principes rappelés ci-dessus (consid. 3.2.1), soit il s’agit d’une activité professionnelle qui justifie l’application d’un tarif extraordinaire, soit tel n’est pas le cas et l’indemnité usuelle du curateur est due. Il peut arriver que certaines activités du mandat nécessitent une rémunération particulière parce qu’elles font appel à des connaissances accrues et d’autres non. Dans ces circonstances, le curateur doit produire une note, en distinguant les activités qu’il a faites. Il ne peut pas, comme l’a fait le recourant, débiter le compte de la personne concernée pour se rémunérer sur les activités nécessitant des connaissances professionnelles selon lui et réclamer en sus l’indemnité du curateur. Ainsi, dans le cas d’espèce, faute d’avoir produit un décompte précis de ses heures et débours, E.________ n’a droit qu’à l’indemnité usuelle. Toutefois, dans la mesure où le premier juge a admis que la moitié des notes de frais du recourant pour les déclarations fiscales des années 2015 à 2017 était justifiée et les a allouées, par compensation, dans cette mesure, il a déjà généreusement rétribué le curateur qui, par ce biais, percevra une double rémunération, la moitié des notes de frais venant s’ajouter à l’indemnité forfaitaire calculée sur la fortune de la personne concernée. La rémunération du curateur étant soumise à la maxime de disposition (art. 58 CPC), l’interdiction de la reformatio in pejus s’applique. Il en résulte que la rémunération allouée ne peut être modifiée en instance de recours, au détriment de la partie qui a seule recouru sur ce point (ATF 129 III 417 c. 2.1.1 ; TF 5A_333/2019 du 6 juillet 2020 consid. 4.1 par analogie ; TF 5A_421/2015 du 21 janvier 2016 consid. 6.2.3 ; TF 5A_434/2014 du 1 er décembre 2014 consid. 6.2 par analogie).</w:t>
      </w:r>
    </w:p>
    <w:p>
      <w:r>
        <w:rPr>
          <w:b/>
        </w:rPr>
        <w:t>E. 4</w:t>
      </w:r>
    </w:p>
    <w:p>
      <w:r>
        <w:t>En conclusion, le recours d’E.________ doit être rejeté et la décision entreprise confirmée. Les frais judiciaires de deuxième instance, arrêtés à 300 fr. (art. 74a al. 1 TFJC [Tarif du 28 septembre 2010 des frais judiciaires civils ; BLV 270.11.5] ),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300 fr. (trois cents francs), sont mis à la charge du recourant E.________. IV. L'arrêt est exécutoire. La présidente :              La greffière : Du L'arrêt qui précède, dont la rédaction a été approuvée à huis clos, est notifié à : ‑ M. E.________, ‑ Mme A.________, ‑ Me J.________,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