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491 vom 3. August 2023</w:t>
      </w:r>
    </w:p>
    <w:p>
      <w:r>
        <w:t>VD Tribunal cantonal, 2023-08-03, FR</w:t>
      </w:r>
    </w:p>
    <w:p>
      <w:r>
        <w:rPr>
          <w:b/>
        </w:rPr>
        <w:t xml:space="preserve">Quelle: </w:t>
      </w:r>
      <w:r>
        <w:t>https://mcp.opencaselaw.ch/entscheid/vd_findinfo_Arr_t___2023___491</w:t>
      </w:r>
    </w:p>
    <w:p>
      <w:r>
        <w:t>FR: VD_FINDINFO Arrêt / 2023 / 491 du 3 août 2023</w:t>
      </w:r>
    </w:p>
    <w:p>
      <w:r>
        <w:t>IT: VD_FINDINFO Arrêt / 2023 / 491 del 3 agosto 2023</w:t>
      </w:r>
    </w:p>
    <w:p>
      <w:pPr>
        <w:pStyle w:val="Heading2"/>
      </w:pPr>
      <w:r>
        <w:t>Regeste</w:t>
      </w:r>
    </w:p>
    <w:p>
      <w:r>
        <w:t>ADMISSION DE LA DEMANDE, EXPERTISE PSYCHIATRIQUE, RENTE D'INVALIDITÉ | 28 LAI</w:t>
      </w:r>
    </w:p>
    <w:p>
      <w:pPr>
        <w:pStyle w:val="Heading2"/>
      </w:pPr>
      <w:r>
        <w:t>Erwägungen</w:t>
      </w:r>
    </w:p>
    <w:p>
      <w:r>
        <w:rPr>
          <w:b/>
        </w:rPr>
        <w:t>E. 3</w:t>
      </w:r>
    </w:p>
    <w:p>
      <w:r>
        <w:t>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 décembre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d) Si le taux d’invalidité du bénéficiaire de rente subit une modification notable, la rente est, d’office ou sur demande, révisée pour l’avenir, à savoir augmentée ou réduite en conséquence, ou encore supprimée (art. 17 al. 1 LPGA [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 a al. 1 RAI [règlement du 17 janvier 1961 sur l’assurance-invalidité ; RS 831.201]). Ces dispositions sont applicables, par analogie, lorsqu’un office de l’assurance-invalidité alloue, avec effet rétroactif, une rente d’invalidité temporaire ou échelonnée (ATF 145 V 209 consid. 5.3 ; 131 V 164 consid. 2.2 ; 125 V 413 consid. 2d).</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w:t>
      </w:r>
    </w:p>
    <w:p>
      <w:r>
        <w:rPr>
          <w:b/>
        </w:rPr>
        <w:t>E. 6</w:t>
      </w:r>
    </w:p>
    <w:p>
      <w:r>
        <w:t>a) Les affections psychiques, les affections psychosomatiques et les syndromes de dépendance à des substances psychotropes doivent en principe faire l’objet d’une procédure probatoire structurée (ATF 145 V 215 ; 143 V 418 consid. 6 et 7 ; 141 V 281 et les références citées). b) Il convient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 personne assurée. Il s’agit également de procéder à un examen de la personnalité de la personne assurée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 personne assurée peuvent être tirées du contexte de vie de ce dernier, ainsi le soutien dont elle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 personne assurée de comprendre sa maladie. De manière similaire, le comportement de la personne assurée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w:t>
      </w:r>
    </w:p>
    <w:p>
      <w:r>
        <w:rPr>
          <w:b/>
        </w:rPr>
        <w:t>E. 7</w:t>
      </w:r>
    </w:p>
    <w:p>
      <w:r>
        <w:t>Sur le plan somatique, il n’est pas contesté que la recourante présente des lombosciatalgies récidivantes sur discarthrose L5-S1, un syndrome cervical sur trouble statique et dégénératif et des gonalgies bilatérales sur gonarthrose, lesquels entraînent des limitations fonctionnelles (pas de sollicitation répétée du tronc en flexion ou torsion et pas de port de charge lourde ; cf. avis SMR du 12 mai 2021 du Dr S.________ et rapport du 25 mai 2019 de la Dre N.________).</w:t>
      </w:r>
    </w:p>
    <w:p>
      <w:r>
        <w:rPr>
          <w:b/>
        </w:rPr>
        <w:t>E. 8</w:t>
      </w:r>
    </w:p>
    <w:p>
      <w:r>
        <w:t>Cohérence Nous avons objectivé une bonne cohérence entre la plupart des plaintes subjectives et le constat objectif, chez une assurée authentique qui décrit son amélioration partielle depuis novembre/décembre 2020 au présent, tant au niveau de ses plaintes que de la journée type.</w:t>
      </w:r>
    </w:p>
    <w:p>
      <w:r>
        <w:rPr>
          <w:b/>
        </w:rPr>
        <w:t>E. 9</w:t>
      </w:r>
    </w:p>
    <w:p>
      <w:r>
        <w:t>Limitation uniforme du niveau d’activité dans tous les domaines comparables de la vie Au moment de l’expertise l’assurée garde des capacités et ressources personnelles limitées mais existantes, car elle arrive à gérer son quotidien que partiellement d’un point de vue psychiatrique en étant ralentie par sa tristesse et ses flashbacks et évitements, à avoir certains contacts sociaux, à participer à quelques tâches ménagères, à s’occuper parfois de sa petite fille, à partir en vacances en famille, etc. Nous retenons de limitations fonctionnelles significatives mais modérées d’un point de vue psychiatrique d’une façon uniforme et significative depuis novembre 2020 au présent dans le sens d’un ralentissement psychomoteur modéré, de troubles de la concentration modérés et d’un isolement social partiel avec des flashbacks et des évitements.</w:t>
      </w:r>
    </w:p>
    <w:p>
      <w:r>
        <w:rPr>
          <w:b/>
        </w:rPr>
        <w:t>E. 10</w:t>
      </w:r>
    </w:p>
    <w:p>
      <w:r>
        <w:t>a) La recourante requiert la prise en charge par l’intimé des frais d’établissement du rapport du 29 septembre 2021 du Dr B.________ pour un montant de 3'500 francs. b)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(TF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 TF 8C_89/2020 du 4 décembre 2020 consid. 6.2 ; 8C_61/2016 précité consid. 6.1 in fine ; 8C_354/2015 du 13 octobre 2015 consid. 6.1 et les arrêts cités, in SVR UV n° 24 p. 75). c) En l’occurrence, l’intimé a fondé la décision litigieuse sur les conclusions du Dr A.________ (rapport d’expertise du 28 décembre 2020 et complément d’expertise du 1 er février 2021), dont les lacunes ont été discutées dans le cadre du présent arrêt (cf. consid. 8 ci-dessus). Au vu de ces éléments, l’intimé aurait dû porter un regard plus critique sur les conclusions du Dr A.________ (avis SMR des 12 mai 2021 et 1 er novembre 2021). Dans ces circonstances, la Cour de céans ne peut que constater que l’intimé a manqué à ses obligations dans le cadre de son devoir d’instruction, en accordant une pleine valeur probante à un rapport d’examen dont les carences étaient manifestes, ceci spécialement après la production du rapport du 29 septembre 2021 du Dr B.________. Aussi, l’expertise privée a servi à pallier les manquements de la procédure administrative. Dans ces conditions, il est justifié de mettre à charge de l’assurance-invalidité la totalité des frais qui ont été nécessaires à la mise en œuvre de l’expertise privée, à savoir les honoraires du Dr B.________ par 3'500 fr. (facture du 1 er octobre 2021 et justificatif de paiement du 12 octobre 2021).</w:t>
      </w:r>
    </w:p>
    <w:p>
      <w:r>
        <w:rPr>
          <w:b/>
        </w:rPr>
        <w:t>E. 11</w:t>
      </w:r>
    </w:p>
    <w:p>
      <w:r>
        <w:t>a) Au vu de ce qui précède, le recours doit être admis et la décision litigieuse réformée, en ce sens que la recourante a droit à une rente entière d’invalidité du 1 er avril 2020 au 31 janvier 2021, la cause devant pour le surplus être renvoyée à l’intimé pour qu’il complète l’instruction dans le sens des considérants. Les frais de l’expertise psychiatrique du Dr B.________ (3'500 fr.) sont en outre mis à la charge de l’OAI. b) La procédure de recours en matière de contestations portant sur l’octroi ou le refus de prestations de l’assurance-invalidité est soumise à des frais de justice (art. 69 al. 1 bis LAI). Il convient de les fixer à 600 fr. et de les mettre à la charge de la partie intimée, vu l’issue du litige. c) La partie recourante obtient gain de cause et a droit à une indemnité de dépens à titre de participation aux honoraires de son conseil (art. 61 let. g LPGA). Compte tenu de l’importance et de la complexité du litige, il convient d’arrêter cette indemnité à 3'000 fr., débours et TVA compris (art. 10 et 11 TFJDA [tarif du 28 avril 2015 des frais judiciaires et des dépens en matière administrative ; BLV 173.36.5.1]), et de la mettre à la charge de la partie intimée. Partant, il n’y a pas lieu, en l’état, de fixer plus précisément l’indemnité d’office du conseil de la recourante. d) Il y a lieu de prendre en considération le montant de l’indemnité d’office versée à Me Claudio Venturelli pour la période du 24 janvier 2022 au 30 janvier 2023à hauteur de 2'778 fr. 65 (décision du 31 janvier 2023), montant à concurrence duquel l’Etat de Vaud est subrogé dans la créance de dépens (art. 122 al. 2 CPC [code de procédure civile du 19 décembre 2008 ; RS 272],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