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452 vom 28. Juni 2023</w:t>
      </w:r>
    </w:p>
    <w:p>
      <w:r>
        <w:t>VD Tribunal cantonal, 2023-06-28, FR</w:t>
      </w:r>
    </w:p>
    <w:p>
      <w:r>
        <w:rPr>
          <w:b/>
        </w:rPr>
        <w:t xml:space="preserve">Quelle: </w:t>
      </w:r>
      <w:r>
        <w:t>https://mcp.opencaselaw.ch/entscheid/vd_findinfo_Arr_t___2023___452</w:t>
      </w:r>
    </w:p>
    <w:p>
      <w:r>
        <w:t>FR: VD_FINDINFO Arrêt / 2023 / 452 du 28 juin 2023</w:t>
      </w:r>
    </w:p>
    <w:p>
      <w:r>
        <w:t>IT: VD_FINDINFO Arrêt / 2023 / 452 del 28 giugno 2023</w:t>
      </w:r>
    </w:p>
    <w:p>
      <w:pPr>
        <w:pStyle w:val="Heading2"/>
      </w:pPr>
      <w:r>
        <w:t>Regeste</w:t>
      </w:r>
    </w:p>
    <w:p>
      <w:r>
        <w:t>COTISATION PARITAIRE, SOUSTRACTION DE COTISATIONS D'ASSURANCE, RESPONSABILITÉ DE L'EMPLOYEUR{AVS}, CONSEIL D'ADMINISTRATION | 52 LAVS</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responsabilité du recourant dans le préjudice causé à la caisse intimée en raison du non-paiement par la société S.________ SA, en sa qualité d’employeur, de cotisations sociales pour les années 2017 et 2018.</w:t>
      </w:r>
    </w:p>
    <w:p>
      <w:r>
        <w:rPr>
          <w:b/>
        </w:rPr>
        <w:t>E. 3</w:t>
      </w:r>
    </w:p>
    <w:p>
      <w:r>
        <w:t>a) L’art. 14 al. 1 LAVS, en corrélation avec les art. 34 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al. 1 LAVS, l’employeur qui, intentionnellement ou par négligence grave, n’observe pas des prescriptions et cause ainsi un dommage à l’assurance, est tenu à réparation. Selon la jurisprudence (ATF 137 V 51 consid. 3.1), il s’agit des situations dans lesquelles l’employeur (et, à titre subsidiaire, les organes qui ont agi en son nom) crée un dommage à la caisse de compensation en ne s’acquittant pas des cotisations sociales fédérales (dues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c)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Cela étant,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réf. cit. ; TFA H 34/04 du 15 septembre 2004 consid. 5.3.1 et les références, in SVR 2005 AHV n° 7 p. 23). Dans les entreprises de taille petite ou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(ATF 122 III 200 consid. 3b). Les organes d’une société anonyme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et les références ; voir également TF 9C_65712015 du 19 janvier 2016 consid. 5.3 et 9C_152/2009 du 18 novembre 2009 consid. 6.1, in SVR 2010 AHV n° 4 p. 11).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5</w:t>
      </w:r>
    </w:p>
    <w:p>
      <w:r>
        <w:t>a) D’après le décompte versé au dossier de l’intimée, il apparaît que la société S.________ SA ne s’est pas acquittée de l’entier des cotisations qu’elle devait à l’intimée pour les années 2017 et 2018, dommage que la Caisse intimée impute au recourant en sa qualité d’administrateur. Pour sa part, le recourant nie avoir commis la moindre faute et plaide, à sa décharge, essentiellement de ne pas avoir pu prendre les mesures qui s’imposaient, au motif que la société était gérée par un tiers. b) aa) En l’occurrence, il n’est pas contesté que le recourant était administrateur de la société faillie du 2 octobre 2014 au 14 décembre 2018 avec signature collective à deux. Cela constaté, se pose la question de savoir si le recourant peut être tenu responsable du dommage causé à l’intimée, du fait du découvert pour les années 2017 et 2018 (cf. extrait de compte au 21 janvier 2022).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causé. En l’occurrence, le recourant, qui était administrateur pendant la période litigieuse, n’a pas contrôlé la gestion de la société. Les personnes formellement ou légalement organes d’une personne morale entrent en principe toujours en considération en tant que responsables solidaires aux conditions de l’art. 52 LAVS (cf. consid. 4b supra). Il incombait ainsi au recourant, en sa qualité d’administrateur, à savoir d’organe légal, de veiller à ce que les cotisations paritaires afférentes aux salaires versés soient effectivement payées à la caisse de compensation, conformément aux prescriptions légales rappelées ci-dessus et indépendamment de sa fonction ou de son influence sur la marche des affaires (cf. TF 9C_68/2020 du 29 décembre 2020 consid. 3 et les références citées). Or, le recourant n’a, à l’évidence, pas rempli ses devoirs et a violé son obligation de diligence, en particulier en omettant de s’acquitter du découvert de charges sociales pour les années 2017 et 2018. bb) Dans son recours du 24 juin 2022, le recourant a expliqué que la gestion quotidienne, notamment de la gestion du personnel, relevait de S.________. L’intéressé indique que son rôle s’est limité à souscrire 60 % des actions et à mettre à disposition un hangar à bateaux. Dans ces circonstances, le recourant admet ni plus ni moins n’avoir pas requis les informations utiles sur le fonctionnement de la société en ayant limité son activité à la souscription d’actions et à la mise à disposition d’un local. De par sa fonction, il aurait cependant dû exercer concrètement et directement une surveillance, sans se limiter à faire confiance à S.________. Rien ne justifie dès lors la passivité de l’intéressé en matière de contrôle, laquelle s’est prolongée tout au long de son mandat selon les propres déclarations de l’intéressé. Le recourant disposait, en sa qualité d’administrateur, de moyens privilégiés pour se renseigner utilement sur la marche des affaires de la société, ceci sans avoir besoin d’attendre de demander à S.________ ce qui s’était produit vis-à-vis de la caisse AVS. Il ne pouvait en effet se contenter, comme il l’a fait, de s’exonérer de toute implication en matière de contrôle. En sa qualité d’administrateur avec signature collective à deux de S.________ SA, le recourant était tenu, en tant que membre du conseil d'administration (art. 717 al. 1 CO), d’exercer la haute surveillance sur les personnes chargées de la gestion de la société, attribution intransmissible et inaliénable (art. 716a al. 1 ch. 5 CO). Entre autres obligations, il lui incombait de se mettre régulièrement au courant de la marche des affaires et de veiller personnellement à ce que les cotisations paritaires afférentes aux salaires versés fussent effectivement payées à l'AVS (TFA H 92/01 du 25 septembre 2002, in SVR 2003 AHV n° 5 p. 14 consid. 5.3.2). cc) Finalement, le recourant se plaint à tort d’une violation du principe de solidarité passive, en ce que l’intimée lui aurait réclamé le paiement de la totalité des arriérés de cotisations afférents à la période litigieuse, alors même que la gestion effective de la société et singulièrement du personnel relevait de S.________. S’il existe une pluralité de responsables, la caisse de compensation lésée jouit en effet d’un concours d’actions et le rapport interne entre les coresponsables ne la concerne pas (cf. ATF 133 III 6 consid. 5.3.2). Il est donc loisible à la caisse de compensation de rechercher tous les débiteurs, quelques-uns ou un seul d’entre eux, à son choix (ATF 134 V 306 consid. 3.1 ; TF 9C_406/2022 du 23 février 2023 consid. 7.4 ; 9C_779/2020 du 7 mai 2021 consid. 6.3). Reste au recourant la faculté de saisir le juge civil d’une action à l’encontre d’autres coresponsables au titre de la répartition interne (ATF 132 III 523 consid. 4.1 et 4.2). dd) Aussi, les circonstances invoquées par le recourant ne constituent pas un motif de suppression ou d’atténuation de la faute commise par l’intéressé. En effet, sa situation correspond à celle d’un homme de paille, puisqu’il a formellement conservé son mandat d’administrateur sans l’assumer dans les faits. A cet égard, la négligence du recourant doit être appréciée d’autant plus sévèrement que la société représentait une petite structure ou de taille réduite (ATF 108 V 199 consid. 3a ; ATFA H 65/01 du 13 mai 2002 consid. 5). c) Le recourant ne fournit au demeurant aucun élément propre à rendre vraisemblable qu’il a tenté d’une manière ou d’une autre, de redresser la situation (licenciements, réduction de salaire, etc.). d) Eu égard à ce qui précède, il convient de retenir que le recourant a commis une négligence grave. Sa responsabilité au sens de l’art. 52 LAVS est dès lors pleinement engagée.</w:t>
      </w:r>
    </w:p>
    <w:p>
      <w:r>
        <w:rPr>
          <w:b/>
        </w:rPr>
        <w:t>E. 6</w:t>
      </w:r>
    </w:p>
    <w:p>
      <w:r>
        <w:t>Reste à se prononcer sur le montant de la créance en réparation de dommage dont le paiement a été réclamé au recourant. a) L’intimée a considéré qu’U.________ avait exercé une activité dépendante pour le compte de la société faillie du 1 er janvier au 30 avril 2018, ce que le recourant conteste. Elle considère aussi qu’en sa qualité d’administrateur, le recourant ne pouvait pas ignorer les tenants du contrôle employeur effectué le 11 novembre 2019, si bien qu’il ne saurait invoquer cet argument à ce stade de la procédure. Le recourant fait valoir qu’à la suite du contrôle employeur en question, dont il déclare tout ignorer, la caisse intimée n’aurait pas dû prélever des cotisations pour les travaux réalisés par U.________ dès lors que celui-ci avait été chargé par la société S.________ SA, en qualité d’entrepreneur, d’effectuer des prestations de peinture, avec son propre matériel et équipement. b)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TF 9C_423/2021 du 1 er avril 2022 consid. 6.2 ; 9C_36/2021 du 7 décembre 2021 consid. 5.2.1 ; 9C_578/2020 du 25 mai 2021 consid. 4.2.1).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citées). Le risque économique encouru par l’entrepreneur peut être défini comme étant celui que court la personne qui doit compter, en raison d’évaluations ou de comportements professionnels inadéquats, avec des pertes de la substance économique de l’entreprise. c) aa) En l’occurrence, le mandat d’administrateur du recourant a pris fin en 2018 selon le registre du commerce, si bien qu’il ne saurait être réputé avoir eu connaissance d’informations relatives à un contrôle employeur en 2019. Dès lors, il y a lieu de vérifier si c’est à juste titre que l’intimée a prélevé des cotisations sociales pour U.________ du 1 er janvier au 30 avril 2018. Soutenir le contraire interdirait de facto au recourant de contester le contrôle employeur litigieux, situation qui violerait le droit d’être entendu et la garantie de l’accès au juge (art. 29 al. 2 et 29 a Cst. [Constitution fédérale de la Confédération suisse du 18 avril 1999 ; RS 101]). bb) Comme le soutient à juste titre le recourant, on ne peut pas présumer l’existence de rapports de travail entre U.________ et la société S.________ SA, comme le fait l’intimée, au seul motif qu’il n’était pas enregistré auprès d’une caisse de compensation (cf. ch. 1066 des Directives sur les cotisations des travailleurs indépendants et des personnes sans activité lucrative dans l'AVS, AI et APG [DIN]). En effet, selon la jurisprudence, le fait que la personne concernée ne soit pas affiliée à une caisse de compensation au moment des faits litigieux ne constitue pas une circonstance de nature économique permettant de distinguer entre revenu provenant d’une activité indépendante et revenu provenant d’une activité dépendante (TF 9C_578/2020 du 25 er mai 2021 consid. 4.2.2 ;  9C_796/2014 du 27 avril 2015 consid. 4.1-4.3 ; H 19/06 du 14 février 2007 consid. 6). Sous réserve des cas très particuliers des vignerons-tâcherons, des concierges et des chauffeurs de taxis, il n’existe pas de présomption juridique en faveur de l’activité salariée ou indépendante (Directives sur le salaire déterminant dans l’AVS, AI et APG [DSD], ch. 1021, 4022, 4032 et 4086). Il ressort des pièces du contrôle employeur effectué le 11 novembre 2019 qu’U.________ a réalisé des travaux de peinture sur des bateaux pour un montant de 9'861 fr. du mois de janvier au mois d’avril 2018, ce qui correspond à un contrat d’entreprise (art. 363 ss CO). Pour le reste, aucun élément du dossier n’indique qu’U.________ se trouvait dans un rapport de subordination organisationnelle vis-à-vis de S.________ SA. La caisse intimée n’a – dans le cours de la procédure – pas apporté pas d’indices sérieux permettant de s’éloigner de ces constatations, persistant à considérer que le recourant aurait pu valablement contester le contrôle employeur effectué le 11 novembre 2019 sans autre prise de position au fond. Elle n’allègue en particulier pas que l’intimée aurait donné des instructions ou directives au prénommé, que celui-ci aurait été soumis à une interdiction de faire concurrence ou qu’il aurait eu une obligation de présence et/ou d’exécuter personnellement les tâches qui lui étaient confiées. U.________ supportait ainsi lui-même les risques et les pertes liés à l’absence de contrats et traitait donc sur un pied d’égalité avec la société S.________ SA. On constate d’ailleurs que les montants de certaines factures ont fait l’objet d’un rabais, ce qui montre ainsi la faculté des parties de négocier d’égal à égal. Rien n’indique par ailleurs que le prénommé ne supportait pas l’entier des frais nécessaires à l’exercice de son activité (téléphonie, informatique, livraison, notamment), de même que les risques et pertes liés à l’insolvabilité des clients ou à des livraisons défectueuses, ce que l’intimée ne prétend du reste pas. En d’autres termes, on voit mal, la société faillie S.________ SA prendre à son compte le risque économique des ouvrages réalisés par U.________. Au demeurant, l’absence d’un numéro de TVA sur les factures d’U.________ n’est pas déterminant en l’espèce, dès lors qu’un indépendant pouvait ne pas être assujetti à la TVA, notamment s’il réalisait un chiffre d’affaires annuel inférieur à 100'000 fr. (art. 10 al. 2 let. a LTVA [RS 641.20]). Le fait qu’U.________ n’était pas inscrit au registre du commerce n’est pas décisif non plus dans la mesure où l’inscription d’une entreprise individuelle au registre du commerce n’est obligatoire que si la personne physique qui exploite une entreprise a, au cours du précédent exercice, réalisé un chiffre d’affaires d’au moins 100'000 fr. (cf. art. 36 al. 1 ORC, dans sa teneur en vigueur jusqu’au 31 décembre 2020 [RO 2007 4851] ; depuis le 1 er janvier 2021, cf. art. 931 al. 1 CO [RO 2020 957]). En définitive, l’intimée ne saurait en définitive imputer à la société faillie de ne pas avoir procédé à des vérifications au sujet de l’affiliation d’U.________ et soutenir qu’elle doit en supporter les conséquences. cc) Aussi, les différentes activités exercées par U.________ pour S.________ SA l’ont été en qualité d’indépendant. Par conséquent, l’intimée n’était pas en droit de facturer des cotisations AVS sur les montants qui lui ont été versés, ainsi que des intérêts moratoires y relatifs, si bien que la décision sur opposition rendue le 25 mai 2022 par la Caisse cantonale vaudoise de compensation AVS doit être annulée en tant qu’elle porte sur les cotisations AVS, les frais et les intérêts relatifs à U.________. d) Pour le surplus, la créance de la Caisse cantonale vaudoise de compensation AVS, vérifiée d’office, peut être confirmée à la lumière de l’extrait de compte au 21 janvier 2022, étant observé que le recourant ne conteste pas la quotité des autres postes du dommage.</w:t>
      </w:r>
    </w:p>
    <w:p>
      <w:r>
        <w:rPr>
          <w:b/>
        </w:rPr>
        <w:t>E. 7</w:t>
      </w:r>
    </w:p>
    <w:p>
      <w:r>
        <w:t>a) Conformément à l'art. 25 LPA-VD, l’autorité peut, d'office ou sur requête, suspendre la procédure pour de justes motifs, notamment lorsque la décision à prendre dépend de l'issue d'une autre procédure ou pourrait s'en trouver influencée d'une manière déterminante. Une suspension de la procédure devant le juge des assurances sociales dans l'attente de l'issue d'une procédure parallèle peut être justifiée par des motifs d'économie de procédure. En particulier, la suspension d'un procès relatif à la responsabilité de l'employeur au sens de l'art. 52 LAVS, jusqu'à droit connu sur le procès pénal, peut être prononcée pour éviter un enchevêtrement des procédures et la répétition de mesures d'instruction par les différentes juridictions saisies (ATFA B 143/05 du 24 mai 2006 consid. 4.1). De même, elle peut être admise lorsque le jugement pénal à rendre devrait permettre de trancher une question décisive pour l'issue du litige, dans un délai raisonnable. La suspension de procédure comporte toutefois le risque de retarder inutilement la procédure, de sorte qu'elle n'est admise qu'à titre exceptionnel, eu égard à l'exigence de célérité posée par l'art. 29 al. 1 Cst. (Constitution fédérale du 18 avril 1999 ; RS 101) (ATF 130 V 94 consid. 5 ; 119 II 386 consid. 1b et les références citées ; 117 V 131 consid. 3). Le juge saisi dispose d'une certaine marge d'appréciation, dont il doit faire usage en procédant à une pesée des intérêts des parties. Dans les cas limites, l'exigence de célérité l'emporte (ATF 119 II 388 consid. 1b). b) S’agissant d’abord des infractions économiques alléguées, on rappellera qu’il est de jurisprudence constante qu’un défendeur à une action en réparation du dommage ne peut se libérer de sa responsabilité envers une caisse de compensation en voulant démontrer qu’il avait été écarté de la gestion sociale et qu'il ne répondait donc pas de celle-ci (TF 9C_289/2009 du 19 mai 2010 consid. 8). Or, en l’occurrence, le recourant s’est rendu coupable d’un défaut de surveillance en sa qualité d’administrateur, ce en quoi réside précisément le fondement de sa responsabilité objective selon l’art. 52 LAVS, étant souligné que l’intéressé admet avoir limité son activité pour S.________ SA à la souscription d’actions et à la mise à disposition d’un local. Les faits reprochés à S.________ sur le plan pénal ne sont dès lors pas de nature à modifier l’appréciation juridique de la situation du point de vue de la responsabilité – objective – en matière d’assurances sociales, on ne voit pas ce que l'apport de la procédure pénale pourrait y changer. La requête de suspension de cause du 5 septembre 2022 doit ainsi être rejetée.</w:t>
      </w:r>
    </w:p>
    <w:p>
      <w:r>
        <w:rPr>
          <w:b/>
        </w:rPr>
        <w:t>E. 8</w:t>
      </w:r>
    </w:p>
    <w:p>
      <w:r>
        <w:t>a) Sur le vu de tout ce qui précède, le recours doit être partiellement admis et la décision attaquée annulée en tant qu’elle porte sur les cotisations AVS, les frais et les intérêts relatifs à U.________ ; elle est confirmée pour le surplus.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 et répartis entre les parties à raison de 400 fr. pour le recourant et 200 fr. pour l’intimée vu le sort du recours. c) Le recours étant partiellement admis, la partie recourante a droit à une indemnité de dépens à titre de participation aux honoraires de son conseil (art. 61 let. g LPGA). Il convient d’arrêter cette indemnité partielle à 1'000 fr., débours et TVA compris (art. 10 et 11 TFJDA [tarif du 28 avril 2015 des frais judiciaires et des dépens en matière administrative ; BLV 173.36.5.1]), et de la mettre à la charge de la partie intimée. Par ces motifs, la juge unique prononce : I. La requête de suspension de cause du 5 septembre 2022 est rejetée. II. Le recours est partiellement admis. III. La décision sur opposition rendue le 25 mai 2022 par la Caisse cantonale vaudoise de compensation AVS est annulée en tant qu’elle porte sur les cotisations AVS, les frais et les intérêts relatifs à U.________. Elle est confirmée pour le surplus. IV. Les frais de justice, arrêtés à 600 fr. (six cents francs), sont mis à la charge de R.________ par 400 fr. (quatre cents francs) et à la charge de la Caisse cantonale vaudoise de compensation AVS par 200 fr. (deux cents francs). V. La Caisse cantonale vaudoise de compensation AVS versera à R.________ une indemnité de 1'000 fr. (mille francs) à titre de dépens. La juge unique :               Le greffier : Du L'arrêt qui précède est notifié à : ‑ Me Bernard de Chedid (pour le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