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394 vom 5. Juni 2023</w:t>
      </w:r>
    </w:p>
    <w:p>
      <w:r>
        <w:t>VD Tribunal cantonal, 2023-06-05, FR</w:t>
      </w:r>
    </w:p>
    <w:p>
      <w:r>
        <w:rPr>
          <w:b/>
        </w:rPr>
        <w:t xml:space="preserve">Quelle: </w:t>
      </w:r>
      <w:r>
        <w:t>https://mcp.opencaselaw.ch/entscheid/vd_findinfo_Arr_t___2023___394</w:t>
      </w:r>
    </w:p>
    <w:p>
      <w:r>
        <w:t>FR: VD_FINDINFO Arrêt / 2023 / 394 du 5 juin 2023</w:t>
      </w:r>
    </w:p>
    <w:p>
      <w:r>
        <w:t>IT: VD_FINDINFO Arrêt / 2023 / 394 del 5 giugno 2023</w:t>
      </w:r>
    </w:p>
    <w:p>
      <w:pPr>
        <w:pStyle w:val="Heading2"/>
      </w:pPr>
      <w:r>
        <w:t>Regeste</w:t>
      </w:r>
    </w:p>
    <w:p>
      <w:r>
        <w:t>ENFANT, ADMISSION DE LA DEMANDE, REPRÉSENTATION, CURATELLE | 306 al. 2 CC, 450 CC</w:t>
      </w:r>
    </w:p>
    <w:p>
      <w:pPr>
        <w:pStyle w:val="Heading2"/>
      </w:pPr>
      <w:r>
        <w:t>Erwägungen</w:t>
      </w:r>
    </w:p>
    <w:p>
      <w:r>
        <w:rPr>
          <w:b/>
        </w:rPr>
        <w:t>E. 1.1</w:t>
      </w:r>
    </w:p>
    <w:p>
      <w:r>
        <w:t>Le recours est dirigé contre une décision de la justice de paix instituant une curatelle de représentation de mineur à forme de l’art. 306 al. 2 CC en faveur des enfants de la recourante et désignant une avocate en qualité de curatrice.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w:t>
      </w:r>
    </w:p>
    <w:p>
      <w:r>
        <w:rPr>
          <w:b/>
        </w:rPr>
        <w:t>E. 1.2.2</w:t>
      </w:r>
    </w:p>
    <w:p>
      <w:r>
        <w:t>Les personnes parties à la procédure, les proches de la personne concernée et les personnes qui ont un intérêt juridique à l'annulation ou à la modification de la décision attaquée ont qualité pour recourir (art. 450 al. 2 CC).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 Steck , Commentaire du droit de la famille [ci-après : CommFam ], Protection de l'adulte, Berne 2013, nn. 24 ss ad art. 450 CC).</w:t>
      </w:r>
    </w:p>
    <w:p>
      <w:r>
        <w:rPr>
          <w:b/>
        </w:rPr>
        <w:t>E. 1.2.3</w:t>
      </w:r>
    </w:p>
    <w:p>
      <w:r>
        <w:t>Le recours doit être dûment motivé et interjeté par écrit (art. 450 al. 3 CC), les exigences de motivation ne devant cependant pas être trop élevées (Droese, Basler Kommentar, Zivilgesetzbuch I, Art. 1-456 ZGB, 7 e éd., Bâle 2022, n. 42 ad art. 450 CC, p. 2940 ; TF 5A_922/2015 du 4 février 2016 consid. 5.1) .</w:t>
      </w:r>
    </w:p>
    <w:p>
      <w:r>
        <w:rPr>
          <w:b/>
        </w:rPr>
        <w:t>E. 1.2.4</w:t>
      </w:r>
    </w:p>
    <w:p>
      <w:r>
        <w:t>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 Basler Kommentar, op. cit., n. 7 ad art. 450aCC,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mère des mineurs concernés, qui a un intérêt à recourir afin d’être autorisée à agir pour le compte de ses enfants, partant à conserver son droit de représentante légale (cf. TF 5A_598/2018 du 20 août 2018 consid. 1), le recours est recevable. Il en va de même des pièces produites en deuxième instance, si tant est qu'elles ne figurent pas déjà au dossier. L’autorité de protection a été consultée conformément à l’art. 450d al. 1 CC.</w:t>
      </w:r>
    </w:p>
    <w:p>
      <w:r>
        <w:rPr>
          <w:b/>
        </w:rPr>
        <w:t>E. 2.1</w:t>
      </w:r>
    </w:p>
    <w:p>
      <w:r>
        <w:t>L 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 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w:t>
      </w:r>
    </w:p>
    <w:p>
      <w:r>
        <w:rPr>
          <w:b/>
        </w:rPr>
        <w:t>E. 2.3</w:t>
      </w:r>
    </w:p>
    <w:p>
      <w:r>
        <w:t>En l’espèce, la justice de paix a rendu sa décision sans procéder à l’audition de X.________. Le 4 novembre 2022, le juge de paix a toutefois imparti à son conseil d’alors un délai pour se déterminer sur la tenue d’une audience ou pour déposer des déterminations et Me Cinzia Petito a renoncé tant à la tenue d’une audience qu’au dépôt d’observations par courrier du 8 novembre 2022. Le droit d’être entendu de la recourante a ainsi été respecté, étant au demeurant précisé qu’elle n’invoque pas le contraire. A.C.________ et B.C.________, alors âgés de huit ans, n’ont pas été entendus. Leur audition ne se justifiait cependant pas, la curatelle litigieuse étant une mesure légère de protection de l’enfant. La décision entreprise est donc formellement correcte et peut être examinée sur le fond.</w:t>
      </w:r>
    </w:p>
    <w:p>
      <w:r>
        <w:rPr>
          <w:b/>
        </w:rPr>
        <w:t>E. 3.1</w:t>
      </w:r>
    </w:p>
    <w:p>
      <w:r>
        <w:t>La recourante reproche aux premiers juges d’avoir institué une curatelle de représentation au sens de l'art. 306 al. 2 CC en faveur de ses enfants. Elle invoque une violation de cette disposition. Elle soutient qu’il n’existe aucun conflit d’intérêts entre ses propres intérêts et ceux de A.C.________ et B.C.________ dès lors qu’elle n’est ni héritière légale ni héritière instituée de feu C.C.________ et n’est donc pas intéressée dans sa succession. Elle affirme que ses intérêts sont parallèles à ceux de ses enfants et qu’en tant que détentrice de l’autorité parentale, elle a ainsi totalement la capacité de les représenter dans le cadre de la succession de feu leur père. Elle en veut pour preuve les courriers respectivement du juge en charge de la succession du 28 mars 2022 et du juge de paix du 2 juin 2022.</w:t>
      </w:r>
    </w:p>
    <w:p>
      <w:r>
        <w:rPr>
          <w:b/>
        </w:rPr>
        <w:t>E. 3.2</w:t>
      </w:r>
    </w:p>
    <w:p>
      <w:r>
        <w:t>L'art. 306 al. 2 CC prévoit que si les père et mère sont empêchés d'agir ou si, dans une affaire, leurs intérêts entrent en conflit avec ceux de l'enfant, l'autorité de protection de l'enfant nomme un curateur ou prend elle-même les mesures nécessaires.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 ; Meier/Stettler, Droit de la filiation, 6 e éd., Bâle 2019, n. 1225, pp. 807 et 808 ). L’existence d’un conflit d’intérêts se détermine par conséquent de manière abstraite et non concrète (ATF 118 II 101 consid. 4, JdT 1995 I 103 ; ATF 107 II 105 consid. 4, JdT 1982 I 106 ; ATF 68 II 342 s'agissant d'un partage successoral entre l'enfant et son père).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CommFam,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de la représentation d'un enfant dans une procédure pénale contre un de ses parents (Steinauer/Fountoulakis, op. cit., n. 1241, p. 550). L'existence d'un conflit d'intérêts entraîne de plein droit l'extinction du pouvoir de représentation du parent (art. 306 al. 3 CC ; Meier/Stettler, op. cit., n. 538, p. 369 et n. 1228, pp. 809 et 810). Le curateur se substitue au représentant légal et agit en ses lieu et place, son rôle étant limité aux affaires pour lesquelles il existe un empêchement ou un conflit d'intérêts.</w:t>
      </w:r>
    </w:p>
    <w:p>
      <w:r>
        <w:rPr>
          <w:b/>
        </w:rPr>
        <w:t>E. 3.3</w:t>
      </w:r>
    </w:p>
    <w:p>
      <w:r>
        <w:t>En l’espèce, il ressort du dossier que A.C.________ et B.C.________ sont les seuls héritiers de feu leur père. L a recourante n’est ni héritière, ni légataire, ni aucunement concernée par la succession de feu C.C.________. En effet, cette succession est en l’état largement déficitaire sans qu’il apparaisse que X.________ revête la qualité de créancière. Par ailleurs, elle n’a aucun intérêt personnel dans le cadre de la succession du grand-père paternel de ses enfants, qui doit être liquidée préalablement, notamment en lien avec la vente de l’immeuble litigieux en [...] (art. 416 al. 1 ch. 4 CC). Partant, il n’y a pas de conflit d’intérêts, même abstrait, entre la mère et ses enfants et la désignation d’un curateur de représentation au sens de l’art. 306 al. 2 CC ne se justifie donc pas. La recourante, seule détentrice de l’autorité parentale, peut par conséquent représenter A.C.________ et B.C.________ dans la succession de feu leur père. Cela étant, dans la mesure où elle est l’unique représentante légale des mineurs et, à ce titre, administre leurs biens (art. 318 al. 1 CC), l’autorité de protection pourra le cas échéant examiner si une mesure de surveillance des biens doit être ordonnée.</w:t>
      </w:r>
    </w:p>
    <w:p>
      <w:r>
        <w:rPr>
          <w:b/>
        </w:rPr>
        <w:t>E. 4.1</w:t>
      </w:r>
    </w:p>
    <w:p>
      <w:r>
        <w:t>En conclusion, le recours de X.________ doit être admis et la décision entreprise annulée.</w:t>
      </w:r>
    </w:p>
    <w:p>
      <w:r>
        <w:rPr>
          <w:b/>
        </w:rPr>
        <w:t>E. 4.2</w:t>
      </w:r>
    </w:p>
    <w:p>
      <w:r>
        <w:t>La recourante a été mise au bénéfice de l’assistance judiciaire par ordonnance du 24 mars 2023. Dans sa liste des opérations du 22 mars 2023, Me Véronique Fontana indique avoir consacré</w:t>
      </w:r>
    </w:p>
    <w:p>
      <w:r>
        <w:rPr>
          <w:b/>
        </w:rPr>
        <w:t>E. 4.3</w:t>
      </w:r>
    </w:p>
    <w:p>
      <w:r>
        <w:t>Les frais judiciaires de deuxième instance sont laissés à la charge de l’Etat (art. 74a al. 4 TFJC [Tarif du 28 septembre 2010 des frais judiciaires civils ; BLV 270.11.5]). Quand bien même la recourante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(Tappy, Commentaire romand, Code de procédure civile, 2 e éd., Bâle 2019 , n. 35 ad art. 107 CPC, p. 495 ; ATF 140 II 385 consid. 4.1 et 4.2). Par ces motifs, la Chambre des curatelles du Tribunal cantonal, statuant à huis clos, prononce : I. Le recours est admis. II. La décision du 23 novembre 2022 de la Justice de paix du district du Gros-de-Vaud est annulée. III. L’indemnité d’office de Me Véronique Fontana, conseil de la recourante X.________, est arrêtée à 1'022 fr. (mille vingt-deux francs), débours et TVA inclus. IV. La bénéficiaire de l’assistance judiciaire X.________ est, dans la mesure de l’art. 123 CPC, tenue au remboursement de l’indemnité de son conseil d’office provisoirement mise à la charge de l’Etat. V. Les frais judiciaires de deuxième instance sont laissés à la charge de l’Etat. VI. Il n’est pas alloué de dépens de deuxième instance. VII. L'arrêt est exécutoire. La présidente :              La greffière : Du L'arrêt qui précède, dont la rédaction a été approuvée à huis clos, est notifié à : ‑ Me Véronique Fontana (pour X.________), ‑ Me Lorraine Ruf, et communiqué à : ‑ M. le Juge de paix du district du Gros-de-Vaud, ‑ Chambre successorale de la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heures et 10 minutes à l’exécution de son mandat, qui peuvent être admises. Il s'ensuit qu’au tarif horaire de 180 fr. hors TVA (art. 2 al. 1 let. a RAJ [Règlement du 7 décembre 2010 sur l’assistance judiciaire en matière civile ; BLV 211.02.3]), ses honoraires sont arrêtés à 930 fr. (5h10 x 180 fr.), auxquels il convient d’ajouter la TVA à 7.7%, par 71 fr. 60, soit un total de 1'001 fr. 60. L’avocate réclame des débours forfaitaires à hauteur de 5%, à savoir 46 fr. 50.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une somme de 18 fr. 60, à laquelle il convient d’ajouter la TVA à 7,7% (art. 2 al. 3 RAJ), par 1 fr. 45. En définitive, l’indemnité d'office de Me Véronique Fontana doit être arrêtée à 1'021 fr. 65 (930 fr. + 71 fr. 60 + 18 fr. 60 + 1 fr. 45), montant arrondi à 1'022 fr., débours et TVA compris. La bénéficiaire de l’assistance judiciaire est, dans la mesure de l’art. 123 CPC, tenue au remboursement de l’indemnité de son conseil d’office mise à la charge de l’Etat.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