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 vom 3. Januar 2023</w:t>
      </w:r>
    </w:p>
    <w:p>
      <w:r>
        <w:t>VD Tribunal cantonal, 2023-01-03, FR</w:t>
      </w:r>
    </w:p>
    <w:p>
      <w:r>
        <w:rPr>
          <w:b/>
        </w:rPr>
        <w:t xml:space="preserve">Quelle: </w:t>
      </w:r>
      <w:r>
        <w:t>https://mcp.opencaselaw.ch/entscheid/vd_findinfo_Arr_t___2023___3</w:t>
      </w:r>
    </w:p>
    <w:p>
      <w:r>
        <w:t>FR: VD_FINDINFO Arrêt / 2023 / 3 du 3 janvier 2023</w:t>
      </w:r>
    </w:p>
    <w:p>
      <w:r>
        <w:t>IT: VD_FINDINFO Arrêt / 2023 / 3 del 3 gennaio 2023</w:t>
      </w:r>
    </w:p>
    <w:p>
      <w:pPr>
        <w:pStyle w:val="Heading2"/>
      </w:pPr>
      <w:r>
        <w:t>Regeste</w:t>
      </w:r>
    </w:p>
    <w:p>
      <w:r>
        <w:t>REJET DE LA DEMANDE, ATTEINTE À LA SANTÉ PSYCHIQUE | 28 LAI, 4 LAI</w:t>
      </w:r>
    </w:p>
    <w:p>
      <w:pPr>
        <w:pStyle w:val="Heading2"/>
      </w:pPr>
      <w:r>
        <w:t>Erwägungen</w:t>
      </w:r>
    </w:p>
    <w:p>
      <w:r>
        <w:rPr>
          <w:b/>
        </w:rPr>
        <w:t>E. 7</w:t>
      </w:r>
    </w:p>
    <w:p>
      <w:r>
        <w:t>a) Le recours doit être rejeté et la décision entreprise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au recourant, qui agit seul et qui n’obtient pas gain de cause (art. 61 let. g LPGA). d) Le recourant est au bénéfice de l’assistance judiciaire limitée aux frais de justice. Les frais judiciaires mis à sa charge ci-avant sont donc provisoirement supportés par l’Etat. Le recourant est toutefois rendu attentif au fait qu’il devra en rembourser le montant dès qu’il sera en mesure de le faire (art. 122 al. 1 et 123 CPC [code de procédure civile du 19 décembre 2008 ; RS 272], applicables par renvoi de l’art. 18 al. 5 LPA-VD). Les modalités de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