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214 vom 8. März 2023</w:t>
      </w:r>
    </w:p>
    <w:p>
      <w:r>
        <w:t>VD Tribunal cantonal, 2023-03-08, FR</w:t>
      </w:r>
    </w:p>
    <w:p>
      <w:r>
        <w:rPr>
          <w:b/>
        </w:rPr>
        <w:t xml:space="preserve">Quelle: </w:t>
      </w:r>
      <w:r>
        <w:t>https://mcp.opencaselaw.ch/entscheid/vd_findinfo_Arr_t___2023___214</w:t>
      </w:r>
    </w:p>
    <w:p>
      <w:r>
        <w:t>FR: VD_FINDINFO Arrêt / 2023 / 214 du 8 mars 2023</w:t>
      </w:r>
    </w:p>
    <w:p>
      <w:r>
        <w:t>IT: VD_FINDINFO Arrêt / 2023 / 214 del 8 marzo 2023</w:t>
      </w:r>
    </w:p>
    <w:p>
      <w:pPr>
        <w:pStyle w:val="Heading2"/>
      </w:pPr>
      <w:r>
        <w:t>Regeste</w:t>
      </w:r>
    </w:p>
    <w:p>
      <w:r>
        <w:t>ÉVALUATION DE L'INVALIDITÉ, ADMISSION DE LA DEMANDE, RETRAITE ANTICIPÉE, DEGRÉ DE L'INVALIDITÉ, RENTE D'INVALIDITÉ | 28 LAI, 29 LAI, 17 LPGA, 6 LPGA, 27 RAI</w:t>
      </w:r>
    </w:p>
    <w:p>
      <w:pPr>
        <w:pStyle w:val="Heading2"/>
      </w:pPr>
      <w:r>
        <w:t>Erwägungen</w:t>
      </w:r>
    </w:p>
    <w:p>
      <w:r>
        <w:rPr>
          <w:b/>
        </w:rPr>
        <w:t>E. 8</w:t>
      </w:r>
    </w:p>
    <w:p>
      <w:r>
        <w:t>a) En vérité, le fait que le bénéficiaire d'une rente de l'assurance-invalidité ait été théoriquement en mesure de prendre une retraite anticipée s’il était resté en bonne santé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 Rechtsprechung des Bundesgerichts zum IVG, 4e éd., 2022, n. 27 ad art. 30 LAI). Or, en l’occurrence, la fin de la carrière professionnelle du recourant résulte de la survenance le 23 avril 2019 d’une incapacité de travail totale et définitive, et non d’une éventuelle décision de ce dernier de prendre une retraite anticipée. En date du 1 er mai 2021, la situation objective du recourant n’a d’ailleurs connu aucun changement particulier justifiant de revoir le droit à la rente. Le fait que le recourant ait indiqué, à réitérées reprises, qu’il aurait pris, s’il était resté en bonne santé, une retraite anticipée à compter du 1 er mai 2021 (formulaire « Détermination du statut » rempli le 8 mai 2021 ; entretien téléphonique du 17 mai 2021 ; rapport d’évaluation économique sur le ménage du 18 novembre 2021), importe peu, dans la mesure où la survenance de l’atteinte à la santé a, dans les faits, rendu caduque la question du départ à la retraite anticipée. b) De même, le fait que le bénéficiaire d'une rente de l'assurance-invalidité touche des prestations d’assurance au titre de la retraite anticipée ne saurait constituer un motif juridique de révision au sens de l'art. 17 LPGA. Certes le recourant est éligible sur le principe, parce qu’il en remplit les conditions réglementaires, à une rente transitoire ordinaire versée par la Fondation FAR.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 18 al. 1 du règlement relatif aux prestations et aux cotisations de la fondation pour la retraite anticipée dans le secteur principal de la construction, les prestations allouées par ledit règlement sont subsidiaires aux autres prestations légales et conventionnelles, soit notamment les prestations de l’assurance-invalidité et de la prévoyance professionnelle. En ce sens, le versement d’une rente transitoire par la Fondation FAR ne diffère guère d’une prestation qui proviendrait d’un régime privé d’assurance et on ne saurait y voir une modification des circonstances économiques au sens de l’art. 17 LPGA. c) Au surplus, il convient d’ajouter que le changement de statut, à supposer qu’il doive être pris en considération, n’est pas suffisamment établi. Entre un projet de retraite anticipée et la réalité telle qu’elle apparaît une fois connu le montant effectif de la rente de retraite anticipée, il y a souvent un gouffre que la simple volonté ne permet pas de combler.</w:t>
      </w:r>
    </w:p>
    <w:p>
      <w:r>
        <w:rPr>
          <w:b/>
        </w:rPr>
        <w:t>E. 9</w:t>
      </w:r>
    </w:p>
    <w:p>
      <w:r>
        <w:t>a) En définitive, le recours, bien fondé, doit être admis et les décisions attaquées réformées en ce sens que le recourant a droit à une rente entière d’invalidité depuis le 1 er avril 2020.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Obtenant gain de cause, le recourant a droit à une indemnité de dépens à titre de participation aux honoraires de son conseil (art. 61 let. g LPGA). Il convient d’arrêter cette indemnité à 2’800 fr., débours et TVA compris (art. 10 et 11 du tarif du 28 avril 2015 des frais judiciaires et des dépens en matière administrative [TFJDA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