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172 vom 13. April 2023</w:t>
      </w:r>
    </w:p>
    <w:p>
      <w:r>
        <w:t>VD Tribunal cantonal, 2023-04-13, FR</w:t>
      </w:r>
    </w:p>
    <w:p>
      <w:r>
        <w:rPr>
          <w:b/>
        </w:rPr>
        <w:t xml:space="preserve">Quelle: </w:t>
      </w:r>
      <w:r>
        <w:t>https://mcp.opencaselaw.ch/entscheid/vd_findinfo_Arr_t___2023___172</w:t>
      </w:r>
    </w:p>
    <w:p>
      <w:r>
        <w:t>FR: VD_FINDINFO Arrêt / 2023 / 172 du 13 avril 2023</w:t>
      </w:r>
    </w:p>
    <w:p>
      <w:r>
        <w:t>IT: VD_FINDINFO Arrêt / 2023 / 172 del 13 aprile 2023</w:t>
      </w:r>
    </w:p>
    <w:p>
      <w:pPr>
        <w:pStyle w:val="Heading2"/>
      </w:pPr>
      <w:r>
        <w:t>Regeste</w:t>
      </w:r>
    </w:p>
    <w:p>
      <w:r>
        <w:t>DÉLAI DE CARENCE D'UNE ANNÉE, ÉVALUATION DE L'INVALIDITÉ, REVENU SANS INVALIDITÉ, REVENU D'INVALIDE | 28 al. 1 let. b LAI, 16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w:t>
      </w:r>
    </w:p>
    <w:p>
      <w:r>
        <w:rPr>
          <w:b/>
        </w:rPr>
        <w:t>E. 3</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mars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En l’occurrence, l’expertise du 24 juillet 2020 du Dr P.________ est pleinement probante, ce dont les parties ne disconviennent pas. En effet, l’expert psychiatre a effectué une anamnèse complète, a rencontré le recourant à deux reprises et a consciencieusement examiné son dossier. Il s’est également renseigné sur ses habitudes, sa vie quotidienne, ses loisirs et son emploi du temps. Le rapport d’expertise est au demeurant structuré et clair, et contient une analyse des différents indicateurs posés par la jurisprudence (cf. consid. 5c supra ). De même, l’expert a fait état de manière circonstanciée des plaintes du recourant, les a prises en compte dans son appréciation et les a confrontées à ses constatations objectives. Il a pris un soin minutieux à étayer les motifs l'ayant amené à retenir les diagnostics de trouble schizotypique (CIM-10 F 21 ; existant depuis 2006), ainsi que de troubles mentaux et troubles du comportement liés à l'utilisation de substances psychoactives multiples (cannabis et alcool) et syndrome de dépendance, actuellement abstinent au cannabis, consommation contrôlée de l'alcool (CIM-10 F 19.20), lesquels correspondent d’ailleurs aux diagnostics posés par la Dre S.________ dans son rapport du 12 février 2018. Il a finalement motivé de manière convaincante l’impact desdits diagnostics sur la capacité de travail du recourant et les limitations fonctionnelles qui en découlaient. b) L’expert a conclu que le recourant présentait une capacité de travail de 80 % dans son activité habituelle, laquelle s’étendait aux « domaines du registre manuel et praxique ». Cette qualification ne prête pas le flanc à la critique, compte tenu du fait que le recourant n’a pratiquement plus eu d’activité professionnelle depuis 2008 et qu’auparavant, il avait travaillé de manière irrégulière, ayant toutefois exercé les activités de vendeur de fruits et légumes auprès de la K.________ et d’employé de tri pour le compte de G.________. Plus important, l’expert a considéré que la capacité de travail du recourant était de 65 % dans une activité adaptée, eu égard à une incapacité de travail de 20 % causée par ses atteintes psychiatriques et à une diminution de rendement supplémentaire liée à ses limitations fonctionnelles. c) Rien ne justifie en l’espèce de s’écarter de ses conclusions convaincantes, lesquelles ne sont d’ailleurs pas remises en question par les parties. d) Par ailleurs, il n’est pas contestable de retenir, au degré de la vraisemblance prépondérante applicable en droit des assurances sociales (cf. ATF 144 V 427 consid. 3.2 ; 139 V 176 consid. 5.3 et les références citées), que les atteintes à la santé du recourant sont apparues entre les années 2006 et 2008, tel que cela ressort de l’avis SMR du 29 septembre 2020 du Dr D.________. Nonobstant le fait que cette appréciation est à l’avantage du recourant, elle ne s’oppose pas à l’appréciation de l’expert psychiatre, lequel a estimé que le trouble schizotypique était présent depuis 2006. Aussi, l’intimé pouvait valablement considérer que les atteintes incapacitantes du recourant existaient depuis la fin de l’année 2008, soit à la période où il avait mis fin à ses rapports de travail avec G.________ et qui avait marqué sa rupture avec la vie active. e) Par conséquent, il convient d’admettre que le recourant a présenté une capacité de travail de 65 % dans une activité adaptée depuis le mois de décembre 2008.</w:t>
      </w:r>
    </w:p>
    <w:p>
      <w:r>
        <w:rPr>
          <w:b/>
        </w:rPr>
        <w:t>E. 7</w:t>
      </w:r>
    </w:p>
    <w:p>
      <w:r>
        <w:t>a) Compte tenu de ce qui précède, le droit à une rente d’invalidité doit d’emblée être nié au recourant, dans la mesure où un tel droit présuppose que la personne assurée a présenté une incapacité de travail d'au moins 40 % en moyenne durant une année sans interruption notable (art. 28 al. 1 let. b LAI). Or, l’incapacité de travail du recourant ne s’est élevée, au maximum, qu’à 20 % dans l’activité habituelle et à 35 % dans une activité adaptée, ceci à compter du mois de décembre 2008 et sans modification depuis lors. Le délai de carence d’une année avec une incapacité de travail de 40 % au moins n’a ainsi jamais été atteint. Il est précisé, à toutes fins utiles, qu’on ne parviendrait pas à un résultat différent si l’on devait retenir, comme l’expert psychiatre, que les troubles du recourant existaient depuis le mois d’avril 2017. b) Il résulte de ces constatations qu’il n’y a pas lieu d’examiner plus avant les griefs soulevés par le recourant en relation avec la détermination de son taux d’invalidité. Par surabondance, il y a lieu de relever que le degré d’invalidité de 35 % arrêté par l’intimé n’est pas critiquable. En effet, dans un cas comme celui-ci, il était légitime de se référer aux mêmes données statistiques pour déterminer à la fois le revenu sans et avec invalidité du recourant (soit, en l’occurrence, à l’ESS pour l’année 2018 [eu égard au dépôt de la demande de prestations en date du 24 août 2017 ; cf. art. 29 al. 1 et 3 LAI], tableaux TA1_skill_level, tous secteurs confondus, niveau de compétence 1, homme). De surcroît, ni le taux d’occupation partiel de 80 % du recourant (cf. ATF 126 V 75 consid. 5a/cc ; TF 9C_18/2022 du 9 novembre 2022 consid. 3.2 ; TF 9C_10/2019 du 29 avril 2019 consid. 5.2 et les références), ni sa baisse de rendement (cf. TF 8C_211/2018 du 8 mai 2018 consid. 4.4 et les références), pas plus que ses limitations fonctionnelles (lesquelles ont déjà été prises en compte pour fixer la capacité de travail exigible) ne justifiaient d’appliquer un abattement supplémentaire sur le revenu statistique avec invalidité du recourant.</w:t>
      </w:r>
    </w:p>
    <w:p>
      <w:r>
        <w:rPr>
          <w:b/>
        </w:rPr>
        <w:t>E. 8</w:t>
      </w:r>
    </w:p>
    <w:p>
      <w:r>
        <w:t>a) En définitive, le recours est rejeté et, partant, la décision querellée est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du code de procédure civile du 19 décembre 2008 [CPC ; RS 272], applicables par renvoi de l’art. 18 al. 5 LPA-VD).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