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123 vom 27. März 2023</w:t>
      </w:r>
    </w:p>
    <w:p>
      <w:r>
        <w:t>VD Tribunal cantonal, 2023-03-27, FR</w:t>
      </w:r>
    </w:p>
    <w:p>
      <w:r>
        <w:rPr>
          <w:b/>
        </w:rPr>
        <w:t xml:space="preserve">Quelle: </w:t>
      </w:r>
      <w:r>
        <w:t>https://mcp.opencaselaw.ch/entscheid/vd_findinfo_Arr_t___2023___123</w:t>
      </w:r>
    </w:p>
    <w:p>
      <w:r>
        <w:t>FR: VD_FINDINFO Arrêt / 2023 / 123 du 27 mars 2023</w:t>
      </w:r>
    </w:p>
    <w:p>
      <w:r>
        <w:t>IT: VD_FINDINFO Arrêt / 2023 / 123 del 27 marzo 2023</w:t>
      </w:r>
    </w:p>
    <w:p>
      <w:pPr>
        <w:pStyle w:val="Heading2"/>
      </w:pPr>
      <w:r>
        <w:t>Regeste</w:t>
      </w:r>
    </w:p>
    <w:p>
      <w:r>
        <w:t>FORMATION PROFESSIONNELLE INITIALE, MESURE D'ORDRE PROFESSIONNEL, ÉCOLE PRIVÉE, DÉCISION DE RENVOI | 16 LAI, 8 al. 1 LAI, 5 RAI</w:t>
      </w:r>
    </w:p>
    <w:p>
      <w:pPr>
        <w:pStyle w:val="Heading2"/>
      </w:pPr>
      <w:r>
        <w:t>Erwägungen</w:t>
      </w:r>
    </w:p>
    <w:p>
      <w:r>
        <w:rPr>
          <w:b/>
        </w:rPr>
        <w:t>E. 2</w:t>
      </w:r>
    </w:p>
    <w:p>
      <w:r>
        <w:t>Quels aménagements ont dû être mis en place ? Nous avons mis en place des réseaux avec la pédopsychiatre ainsi que le coach de l’OAI afin de mieux comprendre les difficultés de A.Z.________. Nous adaptons ainsi les méthodes d’enseignement et le cadre de la prise en charge.</w:t>
      </w:r>
    </w:p>
    <w:p>
      <w:r>
        <w:rPr>
          <w:b/>
        </w:rPr>
        <w:t>E. 3</w:t>
      </w:r>
    </w:p>
    <w:p>
      <w:r>
        <w:t>Quelles sont les étapes prévues pour une amélioration des compétences de M. A.Z.________ (ou les objectifs) ? Les objectifs suivants seront de mettre en place des méthodologies de travail lui permettant de travailler et de réviser de manière autonome.</w:t>
      </w:r>
    </w:p>
    <w:p>
      <w:r>
        <w:rPr>
          <w:b/>
        </w:rPr>
        <w:t>E. 3.2</w:t>
      </w:r>
    </w:p>
    <w:p>
      <w:r>
        <w:t>in fine ; TFA I 856/05 du 30 janvier 2006 consid. 2.2 et I 488/00 du 15 septembre 2003 consid. 3.2). 6. a) En l’occurrence, il est établi que le recourant est atteint d’un TSA, profil Asperger, sans déficience intellectuelle (F84.5), et d’un déficit de l’attention/hyperactivité (TDA/H), de présentation inattentive prédominante (F90.0) (cf. notamment rapport du 4 juin 2021 du W.________). En outre, l’OAI a admis l’existence d’une invalidité du fait de l’atteinte à la santé, de sorte qu’il n’y a pas lieu d’y revenir. Par ailleurs, il est constant que le recourant a arrêté son choix professionnel. En effet, il ressort de nombreux éléments au dossier que celui-ci a un profond intérêt pour le commerce, l’e-commerce et les technologies et qu’il est motivé à poursuivre ses études dans une haute école de commerce (HEC ou HES), cette ambition n’ayant pas varié au fil du temps (cf. entretien du 24 novembre 2021 avec un collaborateur de l’OAI, rapport de N.________ Sàrl du 24 novembre 2021, lettre de motivation du recourant du 9 février 2022 et courriel électronique de M. V.________ du 7 juillet 2022). L’OAI considère en revanche que la scolarisation du recourant au sein de l’école U.________ n’est pas directement nécessitée par l’invalidité. Il n’est selon lui pas démontré que l’assuré, en bonne santé, n’aurait pas fréquenté cette école, puisque son intégration dans celle-ci relève davantage de son HPI que des limitations fonctionnelles découlant de ses atteintes à la santé. L’intimé est en outre d’avis qu’il n’est pas démontré que ces limitations fonctionnelles auraient empêché l’intéressé d’achever avec succès le gymnase public, moyennant par exemple un redoublement de la deuxième année et la poursuite d’un accompagnement spécialisé adapté ; du reste, l’obtention de la maturité fédérale n’était qu’une étape devant amener le recourant à suivre des études supérieures, de sorte qu’il doutait de la possibilité de mettre en place les aménagements dont il avait besoin dans le cadre d’un cursus de formation dans une haute école. Le recourant estime pour sa part qu’il est démontré que, sans son handicap, il aurait suivi une formation moins onéreuse, au sein du gymnase public dans lequel il était inscrit, et que ses besoins spécifiques liés à ses troubles justifient sa scolarisation au sein de l’école U.________. b) Contrairement à ce que retient l’intimé, on ne saurait nier le droit à la prise en charge de la formation sollicitée au motif que le recourant n’aurait pas établi que, sans atteinte à la santé, il ne se serait pas orienté dans un établissement privé comme l’école U.________. Il convient de relever tout d’abord que l’assuré a suivi toute sa scolarité obligatoire en école publique, ainsi que sa première année et la moitié de sa deuxième année de gymnase. Son intention première, résultant des faits, était donc de suivre les cours du Gymnase Q.________ pour obtenir sa maturité fédérale. Ce n’est que lorsque les difficultés liées à son état de santé sont devenues insurmontables que le recourant s’est tourné vers une école spécialisée, plus adaptée à ses besoins, selon lui. En outre, la Dre T.________ a exposé, dans ses rapports des 16 mars et 26 avril 2022, que son patient présentait des problèmes de compréhension des codes sociaux et des règles menant à des difficultés importantes dans l’interaction sociale, une intolérance à la frustration et un manque d’adaptation au changement, ceux-ci étant liés au spectre autistique et au déficit d’attention et de concentration. Ces difficultés étaient présentes depuis le début de la scolarité et avaient, dès la première primaire, nécessité des adaptations scolaires avec des interruptions dans l’emploi du temps pour faire des promenades avec son père, sans qu’il n’y ait toutefois de problème majeur pour comprendre et répondre aux exigences des apprentissages. La situation s’était toutefois aggravée au gymnase avec de nombreuses absences, des arrivées tardives et des devoirs non faits, car l’élève estimait que ceux-ci n’étaient pas importants, intéressants ou même pertinents. D’après la psychiatre traitante, les difficultés liées aux codes sociaux et aux règles et l’intolérance à la frustration mettaient le recourant en crise et il n’était plus possible d’adapter les règles et le programme scolaire aux besoins de ce dernier, raison pour laquelle ses parents s’étaient orientés vers une école privée. La Dre T.________ a ajouté que le recourant avait besoin d’aménagements spécifiques en raison de son trouble et qu’il ne pouvait poursuivre sa scolarité que si l’environnement était adapté. Ainsi, d’un point de vue médical, il est démontré que le besoin de soutien particulier et la nécessité d’une scolarisation en école privée avec des aménagements particuliers sont dus aux atteintes à la santé du recourant (TSA et TDA/H). On peine d’ailleurs à comprendre l’argument de l’OAI selon lequel la scolarisation de l’assuré au sein de l’école U.________ serait motivée par son HPI, étant donné qu’aucun élément au dossier ne mentionne que celui-ci serait HPI. Du reste, le SMR lui-même, dans un avis du 7 juin 2022 – que l’intimé n’a aucunement pris en compte –, a relevé que les difficultés présentées par l’intéressé étaient suffisamment sévères pour entraver sa formation professionnelle et que les limitations fonctionnelles (crises de colère quand il est frustré ou contrarié, qui empêchent son intégration dans le groupe des pairs et qui sont à l’origine de comportements de défis, non compréhension des émotions d’autrui, des interactions et des règles sociales, difficultés à prendre en compte les avis des autres, angoisse face aux changements et à l’imprévu, difficulté à se motiver et à s’intéresser à d’autres sujets en dehors de ses intérêts restreints) étaient causées par le TSA et le TDA/H. D’après le SMR, les difficultés actuelles n’étaient pas en lien avec les exigences du gymnase qui seraient trop importantes mais résidaient dans la difficulté de l’assuré à percevoir son atteinte à la santé et à accepter les contraintes d’une formation professionnelle. Compte tenu de ce qui précède, la preuve requise par la jurisprudence, soit que sans invalidité, l’assuré aurait manifestement bénéficié d’une formation moins onéreuse (cf. arrêt 9C_83/2014 précité, consid. 3.2), est apportée. c) La Cour de céans ne dispose cependant pas de tous les renseignements nécessaires pour se prononcer sur le caractère adéquat, nécessaire et proportionnel de la formation en cause, ni sur le potentiel d’intégration du recourant sur le marché ordinaire du travail en raison de ses limitations fonctionnelles. aa) S’agissant en premier lieu du caractère adéquat de la formation, l’OAI admet que l’école U.________, laquelle vise à préparer les élèves aux examens de la maturité fédérale permettant d’intégrer l’université ou toute autre haute école, est certainement une solution professionnelle adaptée à la situation particulière de l’intéressé, et semble donc admettre son caractère adéquat ; il se réfère toutefois au prétendu HPI du recourant, alors qu’il convient d’examiner si la formation est adéquate pour prendre en charge ce dernier compte tenu de ses atteintes à la santé et si elle répond à ses aptitudes. MM. Y.________ et R.________ estiment quant à eux qu’une formation au sein de l’école U.________ est adéquate. Selon M. Y.________ en effet, dite école est la seule option qui ait une chance de fonctionner (cf. courrier électronique du 25 janvier 2022 à l’OAI). M. R.________ relève quant à lui, dans un courrier du 21 janvier 2022, que l’école U.________, par son nombre très réduit d’élèves en classe, le nombre de formateurs par classe, la formation spécialisée de ceux-ci et leur grande expérience dans le domaine de l’accompagnement psycho-éducatif et pédagogique des personnes Asperger, est particulièrement intéressante pour garantir au maximum l’autonomie scolaire et professionnelle du recourant. Par ailleurs, il convient de relever l’évolution favorable de l’élève au sein de cette école, comme le rapporte le doyen dans son courrier électronique du 7 juillet 2022. En dépit de ce qui précède, il convient de constater que la Cour de céans ne dispose que de peu d’information sur l’école en question pour se prononcer sur son caractère adéquat. Si l’on se réfère au bilan d’orientation effectué le 24 novembre 2021 par N.________ Sàrl, la voie HEC choisie par le recourant paraît adéquate, tout comme la voie gymnasiale (maturité), compte tenu de ses compétences. N.________ Sàrl ne se positionne toutefois pas sur la voie d’une école privée telle que l’école U.________ et on ignore si et dans quelle mesure la formation qui y est proposée répond aux aptitudes du recourant. De même, la psychiatre traitante, dans son rapport du 26 avril 2022, indique que la poursuite en scolarité ordinaire serait difficile en raison du peu de souplesse et d’adaptation vis-à-vis des besoins de l’intéressé. Elle expose que la poursuite de la formation en milieu plus protégé doit être privilégiée pour éviter un risque de décompensation, sans véritablement se prononcer sur le choix de l’école U.________ et sur l’adéquation des modalités qu’elle offre – qu’on ne connaît au demeurant quasiment pas –, avec les atteintes et les limitations fonctionnelles de son patient. Partant, il y a lieu de compléter l’instruction afin de déterminer si l’école U.________ est une structure adaptée aux besoins du recourant, compte tenu de ses troubles, et d’examiner si elle répond aux aptitudes de ce dernier. bb) La formation professionnelle au sein de l’école U.________ paraît nécessaire selon les indications données par MM. R.________ et Y.________, lesquels font notamment état d’un mauvais pronostic si l’assuré devait continuer ses études au sein du gymnase, dont les aménagements possibles n’étaient pas suffisants pour répondre aux besoins spécifiques liés aux troubles de ce dernier. M. V.________ est également d’avis que l’élève ne serait pas en mesure de terminer une formation professionnelle hors d’un suivi individualisé (cf. courrier électronique du 10 août 2022). La Dre T.________ n’est quant à elle pas aussi claire dans son pronostic médical, qui est pourtant déterminant. A cet égard, elle n’explique pas pourquoi la poursuite du gymnase, malgré les aménagements adaptés à sa situation tels qu’octroyés par l’OAI par décisions du 8 décembre 2021, serait vouée à l’échec et en quoi la formation dispensée par l’école U.________ serait primordiale pour obtenir la maturité fédérale. L’intimé devra ainsi l’interpeler pour qu’elle se prononce à ce sujet, puis il devra examiner si la formation envisagée est nécessaire compte tenu de l’ensemble des éléments à prendre en considération. cc) En outre, le potentiel d’intégration du recourant sur le marché ordinaire du travail en raison de ses limitations fonctionnelles n’a pas été suffisamment investigué. Les indications de la psychiatre traitante à cet égard sont inexistantes, celle-ci ayant uniquement répertorié les limitations fonctionnelles et leur impact sur le quotidien de l’intéressé, ce qui n’est pas suffisant. Le bilan d’orientation de N.________ Sàrl permet quant à lui de confirmer que la voie choisie (obtention d’une maturité fédérale) correspond au niveau de l’intéressé et a nommé trois domaines de formation en adéquation avec les limitations fonctionnelles et avec des perspectives suffisantes sur le marché du travail (management HEC, économiste d’entreprise HES et spécialiste des ventes). Il ne permet en revanche pas de faire un pronostic sur ses capacités à exercer une activité lucrative sur le premier marché du travail, au bénéfice d’une formation achevée. Cette question devra par conséquent faire l’objet d’un complément d’instruction, notamment du point de vue médical. dd) A cela s’ajoute que la question de la proportionnalité, à savoir l’équilibre raisonnable entre les frais occasionnés et le résultat escompté, ne peut être résolue en l’état. Il s’agit d’examiner la mesure d’une manière globale dès lors que la formation professionnelle initiale sollicitée en l’espèce ne permet d’obtenir, dans un premier temp, qu’une maturité fédérale, qui devra être suivie d’une formation supérieure avant l’accession au marché de l’emploi. En l’occurrence, le doyen de l’école U.________ indique un tarif mensuel de 2'500 fr., sans toutefois que l’on sache exactement ce qu’il comprend (cours, matériel, etc.), s’il y a lieu de prévoir d’autres frais pour la formation complète et combien de mois celle-ci durera. L’instruction devra ainsi également être complétée sur ce point. d) Compte tenu de ce qui précède, il est établi que, sans invalidité, le recourant aurait manifestement bénéficié d’une formation moins onéreuse. Les éléments au dossier ne permettent toutefois pas de juger du caractère adéquat, nécessaire et proportionnel de la formation professionnelle initiale envisagée au sein de l’école U.________. Il appartiendra à l'intimé de compléter l'instruction à cet égard, avant de statuer à nouveau sur le droit à une mesure de formation professionnelle initiale du recourant au regard des nouveaux éléments au dossier. 7. a) En définitive, le recours doit être admis et la décision entreprise annulée, la cause étant renvoyée à l’intimé pour complément d’instruction au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La liste des opérations produite le 30 novembre 2022 par Me Caroline Schlunke, avocate chez Procap Suisse, ne peut pas être suivie s’agissant du tarif horaire sur lequel elle se fonde. Il convient donc d’arrêter l’indemnité à 2’000 fr., débours et TVA compris, et de la mettre intégralement à la charge de l’intimé (art. 10 et 11 TFJDA [tarif du 28 avril 2015 des frais judiciaires et des dépens en matière administrative ; BLV 173.36.5.1]).</w:t>
      </w:r>
    </w:p>
    <w:p>
      <w:r>
        <w:rPr>
          <w:b/>
        </w:rPr>
        <w:t>E. 4</w:t>
      </w:r>
    </w:p>
    <w:p>
      <w:r>
        <w:t>Compte tenu des difficultés liées au handicap de M. A.Z.________ et en se référant au moment où il a rejoint votre école, quelles étaient les chances que M. A.Z.________ aurait pu être réadapté [sic] de manière efficace et appropriée en dehors de la formation choisie auprès de l’école U.________ (dans un apprentissage p. ex.) ? Nous ne pensons pas que A.Z.________ aurait été capable de retourner dans une classe de l’école publique et d’être présent aux cours. Ainsi, il n’aurait pas pu faire ces études en maturité gymnasiale. L’apprentissage ne semble pas être pour le moment une voie qui permette à A.Z.________ d’atteindre ses objectifs de formation (Etudes universitaires HEC).</w:t>
      </w:r>
    </w:p>
    <w:p>
      <w:r>
        <w:rPr>
          <w:b/>
        </w:rPr>
        <w:t>E. 5</w:t>
      </w:r>
    </w:p>
    <w:p>
      <w:r>
        <w:t>Sur la base de vos constatations actuelles, pensez-vous que A.Z.________ soit objectivement et subjectivement en mesure de suivre un parcours formatif qui puisse l’amener sur le marché ordinaire du travail (potentiel du jeune à s’intégrer, à terme, sur le marché ordinaire du travail) ? Objectivement, A.Z.________ a les capacités cognitives de faire les choix qu’il souhaite (Maturité suisse, apprentissage, école de commerce). Subjectivement, il doit gérer ses émotions et son attention principalement ce qui lui est encore difficile. Ainsi, il doit être encadré de manière individualisée ce qui est l’un des apports de l’école U.________. L’objectif de la maturité fédérale est justement de lui permettre l’obtention d’un diplôme lui permettant à terme de s’intégrer sur le marché du travail, en accord avec ses objectifs personnels (études supérieures puis création et gestion d’entreprise commerciale).</w:t>
      </w:r>
    </w:p>
    <w:p>
      <w:r>
        <w:rPr>
          <w:b/>
        </w:rPr>
        <w:t>E. 6</w:t>
      </w:r>
    </w:p>
    <w:p>
      <w:r>
        <w:t>Quels sont les frais occasionnés par la formation au sein de l’école U.________? L’école coûte 2500 CHF par mois, les cours étant donnés en privé ou en semi-privé (moins de 8 élèves).</w:t>
      </w:r>
    </w:p>
    <w:p>
      <w:r>
        <w:rPr>
          <w:b/>
        </w:rPr>
        <w:t>E. 7</w:t>
      </w:r>
    </w:p>
    <w:p>
      <w:r>
        <w:t>Quel est le résultat escompté ? En particulier, quelle est la reconnaissance du diplôme scolaire de l’école U.________? Quelles sont les professions ou études auxquelles les étudiants auront accès à la fin du parcours scolaire ? L’objectif est la préparation des examens de Maturité suisse qui est un diplôme fédéral donnant accès aux universités, EPF, HES ou tout autre institution de formation supérieure.</w:t>
      </w:r>
    </w:p>
    <w:p>
      <w:r>
        <w:rPr>
          <w:b/>
        </w:rPr>
        <w:t>E. 8</w:t>
      </w:r>
    </w:p>
    <w:p>
      <w:r>
        <w:t>Tout autre commentaire que vous jugerez nécessaire dans la détermination de l’adéquation, nécessité et simplicité de la formation au sein de l’école U.________. Nous avons un travail sur le long terme à effectuer avec A.Z.________ car nous devons trouver les moyens de faire en sorte qu’il puisse travailler de manière autonome et qu’il puisse apprendre par lui-même. Jusqu’à présent, nous avons travaillé sur le fait qu’il puisse recommencer à venir en cours, à faire confiance en l’adulte enseignant. Il s’agit maintenant de le faire progresser académiquement car c’est un jeune homme intelligent qui doit trouver des « chemins différents » pour apprendre. Son intérêt spécifique (trait caractéristique du syndrome Asperger) pour le commerce et l’entreprenariat et un bon levier de motivation car il sait qu’il pourra profiter au maximum des études HEC dont les sujets sont en plein accord avec cet intérêt. » Le courrier électronique du 10 août 2022 de M. V.________ fait quant à lui état de ce qui suit : « Le plus objectivement possible, nous pensons qu’actuellement une formation professionnelle ne fonctionnerait pas pour A.Z.________. Cela principalement car A.Z.________ a besoin d’un suivi individualisé qui comprend à la fois exigence et bienveillance. Je pense que A.Z.________ ne finirait pas une formation professionnelle car l’autonomie, le sens des responsabilités ainsi que la confiance en soi qu’il faudrait avoir ne fait pas encore partie de ses compétences. C’est un jeune homme qui a besoin d’un accompagnement individualisé pour s’épanouir et gérer ses émotions. Dans un cursus professionnel, je pense qu’il décrocherait et se retrouverait à nouveau hors du système. » Par duplique du 31 août 2022, l’intimé a maintenu sa position. Le 30 novembre 2022, Me Caroline Schlunke, avocate au sein de Procap Suisse, a déposé la liste de ses opérations.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mesure de formation professionnelle initiale, à savoir la prise en charge des frais afférents au cursus au sein de l’école privée U.________ conduisant aux examens de la maturité fédérale.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En l’espèce, le recours étant dirigé contre une décision du 2 mai 2022 relative au droit à la formation professionnelle initiale du recourant tel que requis le 14 janvier 2022, ce sont les nouvelles dispositions en vigueur à partir du 1 er janvier 2022 qui s’appliquent.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dont fait partie la formation professionnelle initiale (art. 16 LAI).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5. a)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L’art. 16 al. 2 prévoit que la formation professionnelle initiale doit si possible viser l’insertion professionnelle sur le marché primaire du travail et être mise en œuvre sur ce marché.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(Michel Valterio, op. cit. , n° 2 ad art. 16 LAI).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(Michel Valterio, op. cit. , n° 4 ad art. 16 LAI ; Ulrich Meyer/Marco Reichmuth, Bundesgesetz über die Invalidenversicherung [IVG], 3 e éd., Zurich/Bâle/Genève 2014, n° 5 ad art. 16 ; TF 9C_745/2008 du 2 décembre 2008 consid. 3.2). b) Aux termes de l’art. 5 al. 1 RAI (règlement du 17 janvier 1961 sur l’assurance-invalidité ; RS 831.201), sont réputées formation professionnelle initiale après l’achèvement de la scolarité obligatoire toute formation professionnelle initiale au sens de la LFPr (loi fédérale du 13 décembre 2002 sur la formation professionnelle ; RS 412.10), ainsi que la fréquentation d’une école supérieure, professionnelle ou universitaire, de même que la préparation professionnelle à un travail auxiliaire ou à une activité en atelier protégé. L’art. 5bis al. 2 RAI précise que lorsque l’assuré a débuté une formation avant d’être invalide ou si, sans invalidité, il aurait manifestement pu achever une formation moins coûteuse, les frais de cette formation servent de base de comparaison pour le calcul des frais supplémentaires dus à l’invalidité. Sont considérés comme des frais supplémentaires dus à l’invalidité les frais qu’une personne invalide, comparés à ceux d’une personne non invalide, doit assumer dans le cadre d’une formation professionnelle initiale ou d’une formation continue en raison de son invalidité (al. 3). Les frais supplémentaires sont considérés comme importants s’ils s’élèvent au moins à 400 francs par an (al. 4). Font partie des frais supplémentaires dus à l’invalidité les dépenses faites pour acquérir les connaissances et l’habileté nécessaires, les frais d’acquisition d’outils personnels et de vêtements professionnels et les frais de transport (al. 5). c) aa) Selon la jurisprudence, l’art. 5 al. 3, 1ère phrase, RAI (dans sa teneur en vigueur au 31 décembre 2021 ; correspondant matériellement actuellement à l’art. 5bis al. 3 RAI)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bb) La règle de principe énoncée à l'art. 5bis al. 3 RAI connaît toutefois deux exceptions. Ainsi, l'art. 5bis al. 2 RAI prévoit que lorsque l’assuré a débuté une formation avant d’être invalide ou si, sans invalidité, il aurait manifestement pu achever une formation moins coûteuse, les frais de cette formation servent de base de comparaison pour le calcul des frais supplémentaires dus à l’invalidité. Les deux cas de figure visés à l'art. 5bis al. 2 RAI (anciennement art. 5 al. 3, 2ème phrase, RAI) présupposent que le choix de la formation est lié à l'invalidité (ATF 106 V 165 consid. 2). A cet effet, compte tenu du caractère manifeste exigé par la réglementation topique, il faut apporter la preuve stricte (« stringent bewiesen sein ») que l'assuré, sans invalidité, aurait bénéficié d'une formation moins onéreuse (TF 9C_83/2014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