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120 vom 17. Februar 2023</w:t>
      </w:r>
    </w:p>
    <w:p>
      <w:r>
        <w:t>VD Tribunal cantonal, 2023-02-17, FR</w:t>
      </w:r>
    </w:p>
    <w:p>
      <w:r>
        <w:rPr>
          <w:b/>
        </w:rPr>
        <w:t xml:space="preserve">Quelle: </w:t>
      </w:r>
      <w:r>
        <w:t>https://mcp.opencaselaw.ch/entscheid/vd_findinfo_Arr_t___2023___120</w:t>
      </w:r>
    </w:p>
    <w:p>
      <w:r>
        <w:t>FR: VD_FINDINFO Arrêt / 2023 / 120 du 17 février 2023</w:t>
      </w:r>
    </w:p>
    <w:p>
      <w:r>
        <w:t>IT: VD_FINDINFO Arrêt / 2023 / 120 del 17 febbraio 2023</w:t>
      </w:r>
    </w:p>
    <w:p>
      <w:pPr>
        <w:pStyle w:val="Heading2"/>
      </w:pPr>
      <w:r>
        <w:t>Regeste</w:t>
      </w:r>
    </w:p>
    <w:p>
      <w:r>
        <w:t>MOTIVATION DE LA DEMANDE, CONCLUSIONS, DÉCISION D'IRRECEVABILITÉ | 450 al. 3 CC, 321 al. 1 CPC (CH)</w:t>
      </w:r>
    </w:p>
    <w:p>
      <w:pPr>
        <w:pStyle w:val="Heading2"/>
      </w:pPr>
      <w:r>
        <w:t>Erwägungen</w:t>
      </w:r>
    </w:p>
    <w:p>
      <w:r>
        <w:rPr>
          <w:b/>
        </w:rPr>
        <w:t>E. 3.1</w:t>
      </w:r>
    </w:p>
    <w:p>
      <w:r>
        <w:t>Le recours est dirigé contre une ordonnance de mesures provisionnelles ordonnant une expertise psychiatrique et instituant une curatelle de portée générale provisoire en faveur de la personne concernée. Les voies de droit n'étant pas identiques, il convient de les examiner successivement.</w:t>
      </w:r>
    </w:p>
    <w:p>
      <w:r>
        <w:rPr>
          <w:b/>
        </w:rPr>
        <w:t>E. 3.2.1</w:t>
      </w:r>
    </w:p>
    <w:p>
      <w:r>
        <w:t>Mise en œuvre d'une expertise psychiatrique Une décision en relation avec les preuves est une ordonnance d'instruction au sens de l'art. 124 CPC (Code de procédure civile du 19 décembre 2008 ; RS 272) (Jeandin, Commentaire romand, Code de procédure civile, Bâle 2019, 2 e éd., cité CR-CPC, n. 14 ad art. 319 CPC, p. 1545). Contre une telle ordonnance, le recours des art. 319 ss CPC, applicables à titre de droit cantonal supplétif par renvoi de l'art. 450f CC (ATF 140 III 167 consid. 2.3 ; TF 5A_844/2017 du 15 mai 2018 consid. 9.2), est ouvert à la Chambre des curatelles (art. 8 LVPAE [loi d'application du droit fédéral de la protection de l'adulte et de l'enfant du 29 mai 2012 ; BLV 211.255] et 76 al. 2 LOJV [loi d'organisation judiciaire du 12 décembre 1979 ; BLV 173.01] ; JdT 2015 III 161 consid. 2b), dans les dix jours dès la notification de la décision (art. 321 al. 2 CPC ; JdT 2020 III 181 consid. 1.2.2 ; Jeandin, CR-CPC, n. 10 ad art. 321 CPC, p. 1554). Le recours contre une ordonnance d'instruction n'étant pas expressément prévu par la loi — au sens de l'art. 319 let. b ch. 1 CPC —, il n'est recevable que si ladite ordonnance peut causer un préjudice difficilement réparable (art. 319 let. b ch. 2 CPC ; cf. TF 5A_655/2013 du 29 octobre 2013 consid. 2.1 ; CCUR 5 février 2020/26), le recourant devant démontrer l'existence d'un tel préjudice (cf. Haldy, CR-CPC, n. 3 ad art. 125 CPC ; CCUR 3 octobre 2022/164 consid. 1.1.1 ; CCUR 13 décembre 2021/258 consid. 3.1.1 ; CCUR 1 er novembre 2021/229 consid. 4.1.1). Selon l'art. 321 al. 1 CPC, le recours doit être écrit et motivé, le recours étant irrecevable à défaut de motivation suffisante (TF 4A_101/2014 du 26 juin 2014 consid. 3.3 ; TF 4A_651/2012 du 7 février 2013 consid. 4.2).</w:t>
      </w:r>
    </w:p>
    <w:p>
      <w:r>
        <w:rPr>
          <w:b/>
        </w:rPr>
        <w:t>E. 3.2.2</w:t>
      </w:r>
    </w:p>
    <w:p>
      <w:r>
        <w:t>Institution d'une curatelle provisoire Le recours de l'art. 450 CC est ouvert à la Chambre des curatelles (art. 8 LVPAE et 76 al. 2 LOJV) contre toute décision relative aux mesures provisionnelles (Droese, Basler Kommentar, Zivilgesetzbuch I, Art. 1 - 456 CC, 7 e éd., Bâle 2022,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Sous peine d'irrecevabilité, le recours doit être dûment motivé et interjeté par écrit (art. 450 al. 3 CC), les exigences de motivation ne devant cependant pas être trop élevées (TF 5A_922/2015 du 4 février 2016 consid. 5.1 ; Droese, Basler Kommentar, op. cit. , n. 42 ad art. 450 CC, p. 2940).</w:t>
      </w:r>
    </w:p>
    <w:p>
      <w:r>
        <w:rPr>
          <w:b/>
        </w:rPr>
        <w:t>E. 3.2.3</w:t>
      </w:r>
    </w:p>
    <w:p>
      <w:r>
        <w:t>Dans le cadre du recours de l’art. 319 CPC comme dans celui du recours de l’art. 450 CC,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(CCUR 16 novembre 2022/195 consid. 3.1.3 ; CCUR 3 octobre 2022/164 consid. 1.1.3 ; Jeandin, CR-CPC, n. 3 ad art. 311 CPC – applicable par renvoi des art. 450f CC et 20 al. 1 LVPAE – et n. 4 ad art. 321 CPC). Cette exigence doit aussi être observée dans les procédures soumises à la maxime inquisitoire. De même, le fait que le juge de deuxième instance applique le droit d'office ne supprime pas l'exigence de motivation (TF 5D_4312019 du 24 mai 2019 consid. 3.2.2.1 ; TF 5A_387/2016 du 7 septembre 2016 consid. 3.1). Le recours doit en outre contenir, sous peine d'irrecevabilité, des conclusions au fond pour permettre, le cas échéant, à l'autorité supérieure de statuer à nouveau, ce principe valant également lorsque la procédure est gouvernée par la maxime d'office (CCUR 16 novembre 2022/195 consid. 3.1.3 ; CCUR 3 octobre 2022/164 consid. 1.1.3 ; CCUR 25 février 2021/53 ; Jeandin, CR-CPC, n. 4 ad art. 311 CPC, p. 1511 ; Colombini, Code de procédure civile, Condensé de la jurisprudence fédérale et vaudoise, Lausanne 2018, n. 7.1 ad art. 321 CPC). S’agissant des exigences procédurales requises, si l’autorité de seconde instance peut impartir un délai au recourant pour rectifier certains vices de forme (art. 132 CPC), ainsi pour l’absence de signature, elle ne peut en revanche le faire lorsqu’elle constate un défaut de motivation ou des conclusions déficientes, de tels vices n'étant pas d’ordre purement formel et affectant de manière irréparable le recours (Jeandin, CR-CPC, n. 5 ad art. 311 CPC, p. 1512 ; TF 4A_618/2017 du 11 janvier 2018 consid. 4.3 et 4.4 ; TF 5A_206/2016 du 1 er juin 2016 consid. 4.2.2). Il en va de même du devoir d’interpellation de l’art. 56 CPC, lequel n’est pas applicable en cas de motivation ou conclusions insuffisantes (TF 4A_618/2017 du 11 janvier 2018 consid. 4.3 et 4.4 ; 5A_206/2016 du 1 er juin 2016 consid. 4.2.2 ; CCUR 25 février 2021/53).</w:t>
      </w:r>
    </w:p>
    <w:p>
      <w:r>
        <w:rPr>
          <w:b/>
        </w:rPr>
        <w:t>E. 3.3</w:t>
      </w:r>
    </w:p>
    <w:p>
      <w:r>
        <w:t>En l'espèce, aucune des conclusions prises par le recourant ne concerne l’ordonnance litigieuse, à l’exception de celle tendant à l’annulation de ladite ordonnance au motif qu’elle violerait l'art. 6 CEDH (Convention européenne de sauvegarde des droits de l'homme et des libertés fondamentales du 4 novembre 1950 ; RS 0.101) « par faux dans les titres et par diffamation, tout en violant conjointement le droit d'être entendu », laquelle est ainsi la seule conclusion recevable. Il apparaît en effet que le recourant mélange les procédures le concernant et fait en réalité valoir des griefs pénaux, étant d’ailleurs relevé à cet égard qu’il requiert dans son recours la récusation de la Chambre des recours pénale ainsi que « la désignation d'un procureur extraordinaire en charge de son instruction au pénal ». En outre, force est de constater que le recours est confus et peu compréhensible et que sa lecture ne permet pas de comprendre ce que le recourant reproche au raisonnement des premiers juges tel qu’exposé dans l’ordonnance litigieuse, soit pour quel(s) raison(s) cette décision serait erronée. En particulier, il ne motive pas sa seule conclusion recevable et n’expose pas à quel titre son droit d’être entendu aurait été violé par la justice de paix. Partant, faute de motivation suffisante, le recours est irrecevable. Compte tenu du sort réservé au recours, les requêtes procédurales du recourant de suspension ou de jonction concernant la présente procédure doivent ainsi être rejetées.</w:t>
      </w:r>
    </w:p>
    <w:p>
      <w:r>
        <w:rPr>
          <w:b/>
        </w:rPr>
        <w:t>E. 4.1</w:t>
      </w:r>
    </w:p>
    <w:p>
      <w:r>
        <w:t>En conclusion, le recours est irrecevable.</w:t>
      </w:r>
    </w:p>
    <w:p>
      <w:r>
        <w:rPr>
          <w:b/>
        </w:rPr>
        <w:t>E. 4.2</w:t>
      </w:r>
    </w:p>
    <w:p>
      <w:r>
        <w:t>Le présent arrêt peut être rendu sans frais judiciaires (art. 11 TFJC [tarif du 28 septembre 2010 des frais judiciaires civils ; BLV 270.11.5]). En outre, dans la mesure où aucuns frais judiciaires ne sont mis à la charge du recourant et où celui-ci a agi devant la Chambre de céans sans l’assistance d’un conseil juridique, sa requête d’assistance judiciaire est sans objet. Par ces motifs, la Chambre des curatelles du Tribunal cantonal, statuant à huis clos, prononce : I. Le recours est irrecevable. II. La requête d’assistance judiciaire du recourant R.________ est sans objet. III. L’arrêt, rendu sans frais judiciaires de deuxième instance, est exécutoire. La présidente :              Le greffier : Du L'arrêt qui précède, dont la rédaction a été approuvée à huis clos, est notifié à : ‑ M. R.________, ‑ Mme [...], curatrice, Service des curatelles et tutelles professionnelles, et communiqué à : ‑ Mme la Juge de paix du district du Gros-de-Vaud, ‑ CSR de [...], à l’attention 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