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989 vom 23. Januar 2023</w:t>
      </w:r>
    </w:p>
    <w:p>
      <w:r>
        <w:t>VD Tribunal cantonal, 2023-01-23, FR</w:t>
      </w:r>
    </w:p>
    <w:p>
      <w:r>
        <w:rPr>
          <w:b/>
        </w:rPr>
        <w:t xml:space="preserve">Quelle: </w:t>
      </w:r>
      <w:r>
        <w:t>https://mcp.opencaselaw.ch/entscheid/vd_findinfo_Arr_t___2022___989</w:t>
      </w:r>
    </w:p>
    <w:p>
      <w:r>
        <w:t>FR: VD_FINDINFO Arrêt / 2022 / 989 du 23 janvier 2023</w:t>
      </w:r>
    </w:p>
    <w:p>
      <w:r>
        <w:t>IT: VD_FINDINFO Arrêt / 2022 / 989 del 23 gennaio 2023</w:t>
      </w:r>
    </w:p>
    <w:p>
      <w:pPr>
        <w:pStyle w:val="Heading2"/>
      </w:pPr>
      <w:r>
        <w:t>Regeste</w:t>
      </w:r>
    </w:p>
    <w:p>
      <w:r>
        <w:t>OPPOSITION TARDIVE, OPPOSITION{PROCÉDURE}, DROIT CONSTITUTIONNEL À LA PROTECTION DE LA BONNE FOI, PRINCIPE DE LA BONNE FOI, PROLONGATION DU DÉLAI | 5 al. 3 Cst., 9 Cst., 40 LPGA, 52 LPGA, 10 al. 5 OPGA, 10 OPGA</w:t>
      </w:r>
    </w:p>
    <w:p>
      <w:pPr>
        <w:pStyle w:val="Heading2"/>
      </w:pPr>
      <w:r>
        <w:t>Erwägungen</w:t>
      </w:r>
    </w:p>
    <w:p>
      <w:r>
        <w:rPr>
          <w:b/>
        </w:rPr>
        <w:t>E. 1</w:t>
      </w:r>
    </w:p>
    <w:p>
      <w:r>
        <w:t>La décision sur opposition rendue le 6 septembre 2022 par B.________ SA est annulée.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le litige porte uniquement sur la question de savoir si l’intimée était fondée à déclarer irrecevable l’opposition formée par la recourante contre la décision du 15 mars 2022. c) La présente procédure ne porte en revanche pas sur les moyens que la recourante fait valoir en lien avec le rétablissement du statu quo sine , dès lors que cette question ne fait pas l’objet de la décision querellée du 6 septembre 2022 et singulièrement de son dispositif.</w:t>
      </w:r>
    </w:p>
    <w:p>
      <w:r>
        <w:rPr>
          <w:b/>
        </w:rPr>
        <w:t>E. 2.2</w:t>
      </w:r>
    </w:p>
    <w:p>
      <w:r>
        <w:t>et les références). bb) Aux termes de l’art. 40 al. 1 LPGA, le délai légal ne peut pas être prolongé. Par délai légal au sens de cette disposition, l’on entend celui dont la durée est fixée par la loi et parfois au niveau des ordonnances ou des règlements. Il s’agit principalement des délais d’opposition et de recours, mais pas, en revanche, des délais accordés par l’assureur social pour corriger une écriture insuffisante. Conformément à l’art. 40 al. 1 LPGA, ces délais ne sont pas prolongeables, ce qui signifie que l’acte attendu doit nécessairement intervenir au plus tard le dernier jour du délai ( Anne-Sylvie Dupont , in Anne-Sylvie Dupont/Margit Moser-Szeless [édit.], Loi sur la partie générale des assurances sociales, Commentaire romand, Bâle 2018, n. 5 à</w:t>
      </w:r>
    </w:p>
    <w:p>
      <w:r>
        <w:rPr>
          <w:b/>
        </w:rPr>
        <w:t>E. 3</w:t>
      </w:r>
    </w:p>
    <w:p>
      <w:r>
        <w:t>a) La recourante invoque la protection de sa bonne foi. Elle relève qu’elle a fait parvenir à l’intimée une opposition motivée dans le délai prolongé au 12 mai 2022 par l’intermédiaire de son assurance de protection juridique, se fiant aux courriers électroniques des 2 mai 2022 (prolongation du délai d’opposition jusqu’au 16 mai 2022) et 13 mai 2022 (confirmation de la sauvegarde du délai d’opposition). b) Ancré à l’art. 9 de la Constitution fédérale de la Confédération suisse du 18 avril 1999 (Cst. ; RS 101) et valant pour l’ensemble de l’activité étatique, le principe de la bonne foi exige que l’administration et les administrés se comportent réciproquement de manière loyale. Le principe de la bonne foi protège le citoyen dans la confiance légitime qu’il met dans les assurances reçues des autorités, lorsqu’il a réglé sa conduite d’après des décisions, des déclarations ou un comportement déterminé de l’administration (cf. TF 2C_941/2015 du 9 août 2016 consid. 8.1).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 aa)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de l’ordonnance du 11 septembre 2002 sur la partie générale du droit des assurances sociales (OPGA ; RS 830.11) relatifs à la forme et au contenu de l’opposition ainsi qu’à la procédure d’opposition. L’art. 10 al. 1 OPGA prévoit que l’opposition doit contenir des conclusions et être motivée. L’opposition écrite doit être signée par l’opposant ou par son représentant légal;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w:t>
      </w:r>
    </w:p>
    <w:p>
      <w:r>
        <w:rPr>
          <w:b/>
        </w:rPr>
        <w:t>E. 7</w:t>
      </w:r>
    </w:p>
    <w:p>
      <w:r>
        <w:t>ad art. 40 LPGA et les références citées), sous réserve des délais accordés par l’assureur pour corriger une écriture déficiente qui découle du principe général de l’interdiction du formalisme excessif (ATF 120 V 413 consid. 5a). cc) Dans plusieurs arrêts récents (TF 8C_245/2022 du 7 septembre 2022 consid. 3 ; 8C_660/2021 du 28 juin 2022 consid. 3.3 ; 8C_748/2021 du 23 mars 2022 ; 8C_817/2017 du 31 août 2018 consid. 4 ; 9C_191/2016 du 18 mai 2016 consid. 4),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(TF 8C_245/2022 du 7 septembre 2022 consid. 5.2), mais aussi les associations œuvrant en faveur des assurés (TF 8C_817/2017 du 31 août 2018 consid.  5).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vu la ratio legis de l’art. 10 al. 5 OPGA, qu’un mandataire professionnel aurait dû reconnaître le risque sachant que le délai d’opposition de 30 jours, en tant que délai légal, n’est pas prolongeable (art. 40 al. 1 LPGA), et qu’il n’y a pas lieu de protéger la confiance que le mandataire professionnel a placée dans le fait qu’un tel délai lui a été accordé à tort (TF 8C_245/2022 du 7 septembre 2022 consid. 3.3 ; 8C_817/2017 du 31 août 2018 consid. 5 ; 9C_191/2016 du 18 mai 2016 consid. 4). 4. a) En l’occurrence, on se trouve dans une situation similaire aux affaires jugées par le Tribunal fédéral concernant l’octroi d’un délai supplémentaire pour régulariser une opposition (cf. consid. 3c/cc ci-dessus). b) Il n’est pas contesté que le délai légal de trente jours pour former opposition à la décision de l’intimée du 15 mars 2022 arrivait à échéance au plus tôt le 2 mai 2022 (art. 52 al. 1 et art. 38 al. 1 et 4 let. a LPGA). Ce délai n’était pas prolongeable (cf. art. 40 al. 1 LPGA et consid. 3c/bb-cc ci-dessus). c) Afin d’assurer la défense de ses intérêts, la recourante a mandaté I.________ SA, laquelle revêt la qualité de mandataire professionnel au sens de la jurisprudence. Sur requête de la recourante (courrier électronique du 29 septembre 2021), l’intimée a transmis son dossier à I.________ SA et au Dr H.________ au début du mois d’octobre 2021 (courrier électronique du 30 septembre 2021), soit bien avant la notification de la décision formelle du 15 mars 2022. Aussi, au moment de recevoir cette décision, I.________ SA possédait le dossier de la cause et n’avait pas besoin de le quérir auprès de l’intimée. I.________ SA n’a toutefois déposé une écriture d’opposition que le 12 mai 2022 après avoir sollicité – à tort – et obtenu – également à tort – une prolongation de délai jusqu’au 16 mai 2022. L’intervalle de temps entre le 15 mars 2022 (décision) et le 2 mai 2022 (échéance du délai d’opposition) était cependant amplement suffisant pour déposer un acte d’opposition, en particulier compte tenu des modestes exigences de motivation en procédure d’opposition (cf. Valérie Défago Gaudin , in Dupont/Moser-Szeless [édit.], op. cit., n. 21 ad art. 52 LPGA). S’agissant d’une compagnie d’assurance de protection juridique, un collaborateur provisoirement empêché (maladie ou vacances ; cf. courrier électronique d’I.________ SA du 31 mars 2022) pouvait être remplacé sans difficulté particulière par un collègue. Il s’ensuit qu’I.________ SA ne pouvait raisonnablement compter sur le fait qu’un délai supplémentaire lui avait été accordé jusqu’au 16 mai 2022 pour déposer une opposition, dès lors qu’elle ne pouvait ignorer que les conditions de l’art. 10 al. 5 OPGA n’étaient pas remplies. L’assureur protection juridique aurait pu et dû déposer son opposition dans le délai légal, même en ne la motivant que sommairement, ce qui aurait assuré sa recevabilité. Aussi, il y a lieu de conclure que l’intimée a déclaré à juste titre irrecevable l’opposition formée par la recourante contre sa décision du 15 mars 2022, malgré la prolongation de délai qu’elle a accordée à tort par courrier électronique du 2 mai 2022. On ajoutera que même si la recourante a par la suite affirmé à I.________ SA que le délai avait été sauvegardé (courrier électronique du 13 mai 2022), la confiance qu’a placée I.________ SA dans l’octroi de ce délai supplémentaire n’est pas protégée vu la ratio legis de l’art. 10 al. 5 OPGA (cf. consid. 3c/cc in fine ci-dessus). d) Par surabondance, on précisera que les divers courriers électroniques envoyés par I.________ SA à l’intimée ne revêtent pas la qualification d’opposition, faute de signature manuscrite au sens de l’art. 10 al. 4, 1 ère phrase, OPGA (ATF 142 V 152 consid. 2.4 et 4.6) et que le courrier du Dr H.________ du 26 octobre 2021 ne contient pas de motivation, ce qu’I.________ SA admet d’ailleurs implicitement dans un courrier électronique adressé à l’intimée le 13 mai 2022 ( « vu la lettre d'opposition du médecin du 26.10.2021 ci-jointe, nous avons indiqué "opposition complémentaire". » ). e) Dans ces conditions, il y a lieu de constater que l’intimée a correctement appliqué le droit fédéral en déclarant irrecevable l’opposition formée par la recourante le 12 mai 2022 à l’encontre de sa décision du 15 mars 2022. 5. a) En définitive, le recours, mal fondé, doit être rejeté dans la mesure où il est recevable (cf. consid. 2c ci-dessus), ce qui entraîne la confirmation de la décision sur opposition litigieuse.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