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883 vom 2. Februar 2023</w:t>
      </w:r>
    </w:p>
    <w:p>
      <w:r>
        <w:t>VD Tribunal cantonal, 2023-02-02, FR</w:t>
      </w:r>
    </w:p>
    <w:p>
      <w:r>
        <w:rPr>
          <w:b/>
        </w:rPr>
        <w:t xml:space="preserve">Quelle: </w:t>
      </w:r>
      <w:r>
        <w:t>https://mcp.opencaselaw.ch/entscheid/vd_findinfo_Arr_t___2022___883</w:t>
      </w:r>
    </w:p>
    <w:p>
      <w:r>
        <w:t>FR: VD_FINDINFO Arrêt / 2022 / 883 du 2 février 2023</w:t>
      </w:r>
    </w:p>
    <w:p>
      <w:r>
        <w:t>IT: VD_FINDINFO Arrêt / 2022 / 883 del 2 febbraio 2023</w:t>
      </w:r>
    </w:p>
    <w:p>
      <w:pPr>
        <w:pStyle w:val="Heading2"/>
      </w:pPr>
      <w:r>
        <w:t>Regeste</w:t>
      </w:r>
    </w:p>
    <w:p>
      <w:r>
        <w:t>ATTEINTE DÉGÉNÉRATIVE, LIEN DE CAUSALITÉ, ACCIDENT PROFESSIONNEL | 36 al. 1 LAA, 6 al. 1 LAA, 4 LPGA</w:t>
      </w:r>
    </w:p>
    <w:p>
      <w:pPr>
        <w:pStyle w:val="Heading2"/>
      </w:pPr>
      <w:r>
        <w:t>Erwägungen</w:t>
      </w:r>
    </w:p>
    <w:p>
      <w:r>
        <w:rPr>
          <w:b/>
        </w:rPr>
        <w:t>E. 2</w:t>
      </w:r>
    </w:p>
    <w:p>
      <w:r>
        <w:t>février 2023 __________________ Composition :               Mme Brélaz Braillard , présidente MM. Neu et Piguet, juges Greffière : Mme              Jeanneret ***** Cause pendante entre : K.________ , à [...], recourant, représenté par Me Jana Burysek, avocate à Lausanne, et Caisse nationale suisse d'assurance en cas d'accidents , à Lucerne, intimée. _______________ Art.</w:t>
      </w:r>
    </w:p>
    <w:p>
      <w:r>
        <w:rPr>
          <w:b/>
        </w:rPr>
        <w:t>E. 4</w:t>
      </w:r>
    </w:p>
    <w:p>
      <w:r>
        <w:t>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Lorsque l’existence d’un rapport de cause à effet entre l’accident et le dommage paraît possible, mais qu’elle ne peut être qualifiée de probable dans le cas particulier, le droit à des prestations fondées sur l’assurance-accident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Le droit à des prestations de l’assurance-accidents requiert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 8C_595/2017 du 16 mai 2018 consid. 3.2 et les références citées). c)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 er avril 2019 consid. 3.2 ; 8C_625/2017 du 5 avril 2018 consid. 3.2 ; 8C_649/2016 du 13 juillet 2017 consid. 5.3).</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w:t>
      </w:r>
    </w:p>
    <w:p>
      <w:r>
        <w:rPr>
          <w:b/>
        </w:rPr>
        <w:t>E. 6</w:t>
      </w:r>
    </w:p>
    <w:p>
      <w:r>
        <w:t>a) En l’espèce, l’intimée a mis fin à ses prestations en lien avec les troubles cervicaux à compter du 1 er octobre 2019, au motif que ceux-ci étaient d’étiologie dégénérative, voire constitutionnelle, et que la responsabilité de l’assurance-accident ne saurait être durablement engagée. Elle s’est basée en particulier sur les avis de son médecin d’arrondissement, ainsi que sur le rapport d’examen neurologique du Dr G.________ du 20 juin 2019. Pour rédiger son rapport, ce spécialiste a reçu les pièces médicales recueillies par l’intimée en lien avec l’événement du 26 novembre 2018, dont en particulier l’IRM cervicale du 7 décembre 2018 et le rapport médical du Dr N.________ du 5 mars 2019. Il a établi une anamnèse, a recueilli les plaintes du recourant et a procédé à un examen neurologique complet de celui-ci, incluant un électroneuromyogramme (ENMG) du membre supérieur gauche. Il a ensuite présenté son appréciation du cas, de manière claire et étayée. Ce rapport répond ainsi aux exigences posées par la jurisprudence pour lui reconnaître une pleine valeur probante. b) Dans un premier moyen, le recourant expose que les troubles cervicaux dont il continue de souffrir résultent de son accident du 8 janvier 2016 et qu’ils ont été aggravés par l’événement accidentel du 26 novembre 2018. Il ne précise cependant pas sur quel rapport médical il se fonde pour arriver à cette conclusion. Or les rapports médicaux versés au dossier de l’intimée à la suite de l’accident du 8 janvier 2016 ne font pas état de lésions structurelles de la colonne cervicale, mais d’une entorse cervicale (cf. rapport de la Dre X.________ du 16 février 2016). Ce diagnostic se fondait notamment sur une radiographie du 13 janvier 2016, laquelle ne montrait que des modifications dégénératives, qualifiées d’avancées pour l’âge. En avril 2016, le Dr C.________ a évoqué une myélopathie commotionnelle et constaté que son patient présentait une contracture cervico-dorsale. Ce médecin a cependant indiqué, dans son rapport de juin 2016, que son patient n’avait plus consulté depuis avril 2016, avant de confirmer en juillet 2016 qu’il n’y avait plus de symptômes au niveau cervical et que le recourant n’était revenu que pour sa cheville droite. Il apparaît ainsi que l’accident de voiture de janvier 2016 n’a entraîné aucune lésion au niveau des cervicales et que les troubles cervicaux qui sont apparus consécutivement à cet accident se sont entièrement amendés entre avril et juin 2016. Le recourant a d’ailleurs confirmé, lors de l’entretien tenu à son domicile avec un collaborateur de l’intimée en mars 2019, qu’il n’avait plus ressenti de douleurs cervicales ou dorsales jusqu’à l’événement du 26 novembre 2018, quand bien même il avait dû effectuer un travail pénible physiquement durant sa détention. Dans les suites de l’événement du 26 novembre 2018, le recourant a passé une IRM cervicale le 7 décembre 2018. Celle-ci n’a pas non plus révélé de fracture, mais bien plutôt que le recourant présentait un canal cervical étroit d’origine constitutionnelle, avec rétrécissement pré-foraminal significatif à plusieurs niveaux. D’emblée, le Dr I.________ a réservé le caractère maladif des cervicalgies en posant son diagnostic. Dans son rapport du 5 mars 2019, le Dr N.________ a confirmé l’existence d’un canal cervical étroit, sous la dénomination de « sténose foraminale », et a précisé que cette sténose expliquait « très bien » les symptômes. Ce spécialiste n’a cependant mentionné ni la chute du 26 novembre 2018, ni l’accident de voiture de janvier 2016, événements qu’il n’a donc pas mis en lien avec les symptômes présentés. Un tel lien ne ressort pas non plus des rapports établis par le Prof. B.________, qui a noté la présence d’importants troubles dégénératifs. S’il a cité, parmi les facteurs potentiellement défavorables pour un bon résultat post-opératoire, des accidents « impliqués » et une prise en charge assécurologique non réglée, ce spécialiste n’a pris aucunement position sur ces questions. En conséquence, les pièces médicales au dossier ne permettent pas de retenir, au degré de la vraisemblance prépondérante, que les troubles cervicaux dont souffre le recourant auraient pour origine l’accident de 2016. Il peut seulement en être déduit que le recourant présentait déjà, à la date de son premier accident, un canal cervical étroit et des troubles dégénératifs préexistants, qui ont été provisoirement décompensés à l’occasion du premier accident puis ravivés lors du second accident. C’est donc à juste titre que l’intimée a sollicité l’avis d’un spécialiste indépendant pour déterminer si l’intervention préconisée par le spécialiste traitant était du ressort de l’assurance-accidents et, dans la négative, fixer la date du statu quo sine. c) Dans un deuxième moyen, le recourant conteste la valeur probante du rapport du Dr G.________, au motif que ses conclusions seraient contredites par celles des médecins consultés par le recourant. S’agissant du constat posé par le Dr G.________, selon lequel il ne peut pas confirmer actuellement l’existence d’une atteinte radiculaire ou médullaire et ne retient pas d’indication opératoire, il y a lieu d’emblée de relever que le diagnostic de myélopathie, terme qui désigne les atteintes médullaires, n’a été proposé que par le Dr C.________ en 2016, médecin praticien qui disposait uniquement d’une radiographie et qui n’a plus été consulté pour les douleurs cervicales après quelques semaines seulement. Or le compte-rendu d’IRM du 7 décembre 2018 mentionne expressément l’absence de signes de myélopathie, constat qui n’est contredit ni par le Dr N.________, ni par le Prof. B.________. Quant à l’existence d’une atteinte radiculaire (ou radiculopathie), le Dr G.________ a déclaré ne pas pouvoir en confirmer l’existence au terme d’un examen médical complet comprenant un électroneuromyogramme et en ayant eu connaissance de l’IRM du 7 décembre 2018 ainsi que des constatations faites avant lui par le Dr N.________. Un an plus tard, alors que le recourant s’est plaint d’une aggravation des symptômes, le Dr B.________ a également conclu à un syndrome radiculaire, sur la base d’une nouvelle IRM et d’un examen neurologique n'incluant pas d’électroneuromyogramme. Il existe ainsi une divergence non seulement dans l’appréciation des deux neurochirurgiens consultés par le recourant par rapport à celle du neurologue mandaté par l’intimée, mais également dans la méthode diagnostic employée par ceux-ci. Ces divergences ne paraissent cependant pas suffisantes pour ôter toute valeur probante aux conclusions du Dr G.________, eu égard à la question qui doit être tranchée. En effet, que les troubles soient ou non le résultat d’une radiculopathie, il n’en demeure pas moins que les neurochirurgiens n’établissent aucun lien entre les symptômes rapportés par le recourant et l’un ou l’autre de ses accidents. Les trois spécialistes qui ont examiné le recourant sont ainsi d’accord sur l’origine dégénérative des atteintes visibles sur l’IRM et les radiographies cervicales, de sorte que la question à résoudre est bien le moment du statu quo sine, non celui de la guérison complète ou de la stabilisation des troubles. Or ni le Dr N.________ ni le Prof. B.________ n’ont amené d’élément d’ordre médical susceptible de contredire l’appréciation du Dr G.________ sur la date du statu quo sine. Quant à l’indication opératoire, il faut constater que les neurochirurgiens envisagent, non pas la guérison d’une lésion de nature traumatique, mais la correction du rétrécissement foraminal pour empêcher une future compression de la moelle épinière du fait de l’évolution dégénérative. Il s’agit donc bien, comme l’a indiqué le Dr G.________, d’une intervention préventive qui n’est pas à charge de l’assurance-accidents. d) Le recourant conteste également la valeur probante des conclusions du Dr G.________ du fait que ses troubles cervicaux persistent, alors que ce médecin a évalué que le traitement antidouleur pourrait prendre fin dans un délai de trois à six mois. Le reproche du recourant à cet égard est assez confus. La notion de statu quo sine intervient lorsque l’accident a décompensé un état maladif préexistant et que le statu quo ante ne peut être recouvré, donc lorsqu’il ne saurait être question d’une guérison complète. En l’occurrence, s’agissant de lésions dégénératives qui ne peuvent que s’aggraver avec le temps, le délai de trois à six mois posé par le Dr G.________ ne visait manifestement pas la guérison des troubles. Déterminé fin juin 2019, ce délai portait le statu quo sine entre fin septembre et fin décembre 2019, soit entre dix à treize mois après la survenance de la chute. Comme déjà dit, contrairement à ce que soutient le recourant, les spécialistes qu’il a consultés ne donnent aucun argument susceptible de justifier la persistance de douleurs cervicales pendant plus d’une année après une chute de faible hauteur et sans contrainte particulière au niveau cervical. Aussi, il n’existe aucune raison de s’écarter des conclusions du Dr G.________, qui sont conformes à la pratique médicale entérinée par la jurisprudence (cf. supra, consid. 4c). e) En définitive, l’intimée n’avait aucune raison de douter des conclusions du Dr G.________, celles-ci n’étant pas sérieusement contredites par les rapports des spécialistes consultés par le recourant sur les questions assécurologiques. Quant à la valeur probante des rapports du médecin d’arrondissement, également mise en doute par le recourant, elle doit être examinée à la lumière de la tâche conférée par l’assureur. Dans le cas d’espèce, le rôle du Dr J.________ s’est limité à opérer la synthèse des renseignements médicaux recueillis, à prendre position à leur sujet et à prodiguer des recommandations quant à la suite à donner au dossier sur le plan médical. En tant qu’ils sont fondés sur un dossier médical complet comprenant des rapports d’examen du recourant et qu’ils ne sont pas contredits par les pièces médicales au dossier, les avis du Dr J.________ peuvent être suivis (cf. TF 8C_712/2021 du 10 août 2021 consid. 3.3.2). Dans ce contexte, il convient également d’écarter le grief soutenu par le recourant, selon lequel l’intimée aurait manqué à son obligation d’instruire, puisque l’intimée a sollicité l’avis de son médecin d’arrondissement tout au long de l’instruction du dossier, y compris à réception de l’opposition du recourant puis des rapports du Prof. B.________.</w:t>
      </w:r>
    </w:p>
    <w:p>
      <w:r>
        <w:rPr>
          <w:b/>
        </w:rPr>
        <w:t>E. 7</w:t>
      </w:r>
    </w:p>
    <w:p>
      <w:r>
        <w:t>A titre de mesure d’instruction, le recourant a requis la mise en œuvre d’une expertise judiciaire. Comme démontré plus avant, les éléments au dossier sont suffisants pour permettre à la Cour des assurances sociales de renoncer à requérir un complément d’instruction sous la forme d’une expertise. Par conséquent, il n’y a pas lieu de donner suite à la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Au vu de ce qui précède, le recours doit être rejeté et la décision sur opposition litigieuse confirmée. b) Il n’y a pas lieu de percevoir de frais judiciaires (art. 61 let. f bis LPGA), ni d’allouer de dépens à la partie recourante, qui n’obtient pas gain de cause (art. 61 let. g LPGA). c) La partie recourante est au bénéfice de l’assistance judiciaire. Me Burysek peut prétendre une équitable indemnité pour son mandat d’office, qu’il convient de fixer à 2'361 fr. 20, débours et TVA compris (art. 2, 3 al. 2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