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837 vom 18. Oktober 2022</w:t>
      </w:r>
    </w:p>
    <w:p>
      <w:r>
        <w:t>VD Tribunal cantonal, 2022-10-18, FR</w:t>
      </w:r>
    </w:p>
    <w:p>
      <w:r>
        <w:rPr>
          <w:b/>
        </w:rPr>
        <w:t xml:space="preserve">Quelle: </w:t>
      </w:r>
      <w:r>
        <w:t>https://mcp.opencaselaw.ch/entscheid/vd_findinfo_Arr_t___2022___837</w:t>
      </w:r>
    </w:p>
    <w:p>
      <w:r>
        <w:t>FR: VD_FINDINFO Arrêt / 2022 / 837 du 18 octobre 2022</w:t>
      </w:r>
    </w:p>
    <w:p>
      <w:r>
        <w:t>IT: VD_FINDINFO Arrêt / 2022 / 837 del 18 ottobre 2022</w:t>
      </w:r>
    </w:p>
    <w:p>
      <w:pPr>
        <w:pStyle w:val="Heading2"/>
      </w:pPr>
      <w:r>
        <w:t>Regeste</w:t>
      </w:r>
    </w:p>
    <w:p>
      <w:r>
        <w:t>ASSISTANCE JUDICIAIRE, DEMI-RENTE, ÉVALUATION DE L'INVALIDITÉ, ADMISSION DE LA DEMANDE | 28 LAI, 29 LAI, 4 al. 1 LAI, 6 LPGA, 7 LPGA, 8 LPGA</w:t>
      </w:r>
    </w:p>
    <w:p>
      <w:pPr>
        <w:pStyle w:val="Heading2"/>
      </w:pPr>
      <w:r>
        <w:t>Volltext</w:t>
      </w:r>
    </w:p>
    <w:p>
      <w:r>
        <w:t>Vaud Tribunal cantonal Cour des assurances sociales 18.10.2022 Arrêt / 2022 / 837</w:t>
      </w:r>
    </w:p>
    <w:p>
      <w:r>
        <w:t>ASSISTANCE JUDICIAIRE, DEMI-RENTE, ÉVALUATION DE L'INVALIDITÉ, ADMISSION DE LA DEMANDE | 28 LAI, 29 LAI, 4 al. 1 LAI, 6 LPGA, 7 LPGA, 8 LPGA</w:t>
      </w:r>
    </w:p>
    <w:p>
      <w:r>
        <w:t>TRIBUNAL CANTONAL AI 50/22 - 307/2022 ZD22.008464 COUR DES ASSURANCES SOCIALES _____________________________________________ Arrêt du 18 octobre 2022 _____________________ Composition :               M. Piguet , président Mmes Röthenbacher et Berberat, juges Greffier : M.              Addor ***** Cause pendante entre : R.________ , à L.________, recourante, représentée par Me Benoît Sansonnens, avocat à Fribourg, et OFFICE DE L’ASSURANCE-INVALIDITE POUR LE CANTON DE VAUD , à Vevey, intimé. _______________ Art. 6, 7 et 8 LPGA ; 4 al. 1, 28 et 29 LAI E n  f a i t  : A. R.________ (ci-après : l’assurée ou la recourante), née en 1983, est célibataire et mère d’une fille née en 2005. Sans formation professionnelle, elle a travaillé depuis 2011 en qualité de collaboratrice de distribution à 70 % pour le compte de X.________ SA. Souffrant de polypose adénomateuse familiale, d’hypersomnie et d’apnées du sommeil, R.________ a déposé, le 29 mars 2019, une demande de prestations de l’assurance-invalidité auprès de l’Office de l’assurance-invalidité pour le canton de Vaud (ci-après : l’office AI ou l’intimé). Dans un rapport du 22 mai 2019, la Dre N.________, spécialiste en médecine interne générale et médecin traitant, a posé les diagnostics – avec effet sur la capacité de travail – d’hypersomnie idiopathique, de syndrome d’apnées du sommeil léger, de polypose familiale adénomateuse et d’anxiété. Ayant attesté une incapacité de travail de 50 % depuis le 8 février 2019, elle a relevé qu’elle ne pouvait pas se prononcer sur la capacité de travail dans une activité adaptée, dans la mesure où cette évaluation dépendait d’un réajustement du traitement de Ritaline et de l’évolution de l’anxiété. Réinterrogée par l’office AI, la Dre N.________ a indiqué, le 11 octobre 2019, que l’état de santé de sa patiente était stationnaire tout en précisant qu’elle faisait l’objet d’un suivi psychiatrique. Dans un rapport du 31 décembre 2019 co-signé par T.________, psychologue FSP, la Dre S.________, spécialiste en psychiatrie et psychothérapie, psychiatre au Centre H.________, a posé les diagnostics incapacitants de trouble anxieux et dépressif mixte et de syndrome douloureux chronique. Elle a expliqué que l’appréciation de la capacité de travail était du ressort de ses confrères somaticiens. Le 6 avril 2020, l’assurée a débuté une mesure de réinsertion auprès de son employeur. Initialement prévue jusqu’au 30 juin 2020, elle a été successivement prolongée jusqu’au 28 février 2021, d’abord à raison d’une heure puis de trois heures par jour quatre jours par semaine (communications des 17 juin et 9 octobre 2020). Le 24 novembre 2020, X.________ SA a résilié les rapports de travail au 28 février 2021. Une évaluation économique sur le ménage a été réalisée le 26 novembre 2020 au domicile de l’assurée, laquelle a mis en évidence une entrave de 0,2 % dans l’accomplissement des travaux habituels (rapport du 30 novembre 2020). Le 7 décembre 2020, la Dre N.________ a exposé que les diagnostics d’hypersomnie et de troubles de l’adaptation avec réaction anxieuse et dépressive étaient désormais à l’origine d’une capacité de travail nulle dans l’activité habituelle en raison d’une fatigabilité, de troubles de la concentration et de l’attention et d’une anxiété. Dans un avis médical du 19 janvier 2021, le Dr K.________, médecin auprès du Service médical régional de l’assurance-invalidité (ci-après : le SMR), s’est étonné de la faible capacité de travail retenue au regard du caractère léger des troubles psychiatriques diagnostiqués et de leur traitement. Aussi a-t-il demandé la réalisation d’une expertise bi-disciplinaire (psychiatrie-neuropsychologie) afin de déterminer les atteintes incapacitantes, les limitations fonctionnelles et la capacité de travail dans l’activité habituelle et dans une activité adaptée. Pour ce faire, l’office AI a mandaté le Prof. J.________, spécialiste en psychiatrie et psychothérapie. Dans son rapport du 14 avril 2021, il a posé les diagnostics – avec effet sur la capacité de travail – de trouble anxieux et dépressif mixte et de trouble de personnalité émotionnellement labile de type borderline. D’après l’expert, la capacité de travail dans l’activité habituelle, considérée comme adaptée sur le plan psychiatrique, était de 50 % (d’un plein temps) dès 2019 puis, moyennant la prescription d’un traitement antidépresseur, de 100 % après une année. Sollicité pour détermination, le Dr K.________ a déclaré ne pas avoir d’éléments pour s’écarter des conclusions expertales (avis médical du 29 juillet 2021). Le 7 octobre 2021, l’office AI a informé l’assurée de son intention de lui refuser l’octroi d’une rente d’invalidité au motif que le degré d’invalidité, évalué à 35 % conformément à la méthode mixte d’évaluation, n’atteignait pas le seuil ouvrant droit à cette prestation. Se prévalant de divers documents médicaux (rapports du 26 octobre 2021 de la Dre N.________ ; du 17 novembre 2021 du Dr Z.________, médecin-chef d’établissement au Centre H.________ ; du 14 avril 2021 de la Dre P.________, spécialiste en gastroentérologie et hépatologie ; du 9 novembre 2021 de la Dre G.________, spécialiste en médecine interne générale ; du 26 octobre 2021 de la Dre C.________, spécialiste en gynécologie et obstétrique ainsi que divers rapports de consultation pneumologique établis entre octobre 2018 et novembre 2020 et un compte-rendu de physiothérapie du 18 novembre 2021), l’assurée a demandé, le 18 novembre 2021, que l’office AI réexamine sa situation médicale. En outre, elle s’étonnait qu’il n’ait pas retenu, conformément à ce qu’elle avait déclaré lors de l’enquête économique sur le ménage, un statut de personne active à 100 %, taux qui correspondait à celui auquel elle travaillerait si elle était en bonne santé. Après avoir pris connaissance des derniers éléments médicaux versés au dossier, le Dr K.________ a estimé qu’ils ne permettaient pas de retenir une modification significative de l’état de santé (avis médical du 15 décembre 2021). Par décision du 7 février 2022, l’office AI a entériné son refus d’octroyer une rente d’invalidité conformément à son projet de décision du 7 octobre 2021. B. a) Par acte du 2 mars 2022, R.________, représentée par Me Benoît Sansonnens, avocat, a déféré la décision du 7 février 2022 devant la Cour des assurances sociales du Tribunal cantonal du canton de Vaud en concluant, sous suite de frais et dépens, à sa réforme en ce sens qu’elle est mise au bénéfice d’une demi-rente d’invalidité. S’appuyant sur un arrêt du Tribunal fédéral (TF 9C_621/2013 du 28 janvier 2014), elle a contesté le constat de l’office AI, selon lequel elle aurait exercé une activité lucrative à 70 %, soulignant avoir toujours déclaré que, sans atteinte à la santé, elle aurait travaillé à plein temps car un taux inférieur ne lui aurait pas permis de subvenir à ses besoins. b) Dans sa réponse du 4 avril 2022, l’office AI s’est référé au rapport du 30 novembre 2020 d’évaluation économique sur le ménage pour justifier le taux d’activité retenu. Il a conclu au rejet du recours. c) Par réplique du 4 mai 2022, l’assurée a maintenu ses conclusions. Elle a relevé qu’elle était entravée de longue date dans sa capacité de travail et que le fait de ne pas avoir travaillé à temps complet au cours des dernières années était uniquement dû à son état de santé. Aussi convenait-il d’appliquer la méthode de la comparaison des revenus pour déterminer le taux d’invalidité car l’exercice d’’une activité à temps partiel ne résultait pas d’un choix de sa part mais bien de ses problèmes de santé. De plus, son âge et celui de sa fille ainsi que sa situation personnelle plaidaient en faveur d’un taux d’activité à 100 % et, partant, de l’application de la méthode mentionnée. d) Dupliquant en date du 16 mai 2022, l’office AI a indiqué que les arguments avancés n’étaient pas de nature à modifier sa position, si bien qu’il a derechef conclu au rejet du recours.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a pour objet le droit de la recourante à une rente de l’assurance-invalidité, singulièrement la question de savoir quelle méthode d’évaluation de l’invalidité il convient d’appliquer. b) aa) Des modifications législatives et réglementaires sont entrées en vigueur au 1 er janvier 2022 dans le cadre du « développement continu de l'AI » ([Développement continu de l’AI], modification du 19 juin 2020, RO 2021 705, et règlement sur l’assurance-invalidité [RAI], modification du 3 novembre 2021, RO 2021 706). Ainsi, les dispositions de la LAI et celles du RAI dans leur version entrant en vigueur le 1 er janvier 2022 s’appliquent à toutes les rentes qui prennent naissance à partir du 1 er janvier 2022. bb) Si la décision concernant un premier octroi de rente est rendue après le 1 er janvier 2022, mais porte sur un droit qui a pris naissance avant cette date, ce sont les dispositions de la LAI et celles du RAI dans leur version valable jusqu'au 31 décembre 2021 qui s'appliquent (cf. ch. 9101 de la Circulaire sur l’invalidité et les rentes dans l’assurance-invalidité [CIRAI] valable dès le 1 er janvier 2022). cc) En l’occurrence, l’intimé a retenu, dans la décision attaquée, que le délai de carence d’une année avait débuté le 8 février 2019, si bien que le droit éventuel à une rente de l’assurance-invalidité prendrait naissance au mois de février 2020. L’ancien droit, dans sa teneur en vigueur jusqu’au 31 décembre 2021, s’applique dès lors au cas d’espèce.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c) Le droit à la rente prend naissance au plus tôt à l’échéance d’une période de six mois à compter de la date à laquelle l’assuré a fait valoir son droit aux prestations conformément à l’art. 29 al. 1 LPGA, mais pas avant le mois qui suit le 18 e anniversaire de l’assuré. La rente est versée dès le début du mois au cours duquel le droit prend naissance (art. 29 al. 1 et 3 LAI). d) Pour évaluer le degré d'invalidité, il existe principalement trois méthodes – la méthode générale de comparaison des revenus, la méthode spécifique et la méthode mixte –, dont l'application dépend du statut du bénéficiaire potentiel de la rente: assuré exerçant une activité lucrative à temps complet, assuré non actif, assuré exerçant une activité lucrative à temps partiel. aa)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 a al. 1 LAI en corrélation avec l'art. 16 LPGA). bb)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 a al. 2 LAI [dans sa teneur en vigueur au 31 décembre 2021] en corrélation avec les art. 8 al. 3 LPGA et 27 RAI [dans sa teneur en vigueur au 31 décembre 2021]). cc) Chez les assurés qui n'exerçaient que partiellement une activité lucrative, l'invalidité est, pour cette part, évaluée selon la méthode générale de comparaison des revenus. S'ils se consacraient en outre à leurs travaux habituels au sens des art. 28 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[dans sa teneur en vigueur au 31 décembre 2021] en corrélation avec l'art. 27 bis RAI; voir par ailleurs ATF 131 V 51 consid. 5.1.2). e) Lors de l'examen initial du droit à la rente, il convient d'examiner quelle est la méthode d'évaluation de l'invalidité qu'il s'agit d'appliquer. Le choix de l'une des trois méthodes reconnues (méthode générale de comparaison des revenus [art. 28 a al. 1 LAI en corrélation avec l'art. 16 LPGA], méthode spécifique [art. 28 a al. 2 LAI en corrélation avec les art. 27 RAI et 8 al. 3 LPGA], méthode mixte [art. 28 a al. 3 LAI en corrélation avec l'art. 27 bis RAI]) dépendra du statut du bénéficiaire potentiel de la rente : assuré exerçant une activité lucrative à temps complet, assuré non actif, assuré exerçant une activité lucrative à temps partiel.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 4.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Une enquête ménagère effectuée au domicile de la personne assurée (cf.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 130 V 61 consid. 6 et les références citées ; TF 9C_687/2014 du 30 mars 2015 consid. 4.2.1). 5. En l’espèce, la décision attaquée est fondée, d’une part, sur le rapport d’enquête ménagère du 30 novembre 2020 retenant que la recourante aurait exercé, à la date déterminante de la décision litigieuse, une activité lucrative à raison de 70 % et consacré le reste de son temps à ses travaux habituels et, d’autre part, sur le rapport d’expertise du 14 avril 2021 du Prof. J.________ dans lequel il avait estimé que la capacité de travail de la recourante était de 50 % en toute activité dès 2019. 6. a) La recourante fait grief à l’intimé d’avoir retenu un statut mixte en lieu et place du statut d’une personne exerçant une activité lucrative à plein temps. Elle fait valoir que, sans atteinte à la santé, elle aurait travaillé à plein temps afin de pouvoir subvenir à ses besoins et déplore l’absence d’examen sur ce point par l’office intimé. b) L’appréciation de la situation effectuée par l’office intimé n’apparaît en effet guère convaincante. Celui-ci se fonde essentiellement sur le constat – succinct et, pour ce motif, à la valeur probante relative – opéré par l’enquêtrice de l’assurance-invalidité, selon lequel la recourante n’avait pas requis formellement d’augmentation de son taux de travail depuis 2011. Ce faisant, le raisonnement élude totalement les explications données à cette occasion par la recourante, laquelle a indiqué qu’elle avait vainement sollicité oralement à plusieurs reprises son employeur afin d’obtenir une augmentation de son taux. Par ailleurs, il ressort du rapport d’enquête économique sur le ménage que la situation financière de la recourante est difficile, elle et son compagnon faisant notamment l’objet de saisie sur leur salaire. Quant à l’âge de la fille de la recourante (née en 2005), il ne constitue pas un obstacle à l’exercice d’une activité à plein temps. Aussi convient-il d’admettre que la recourante consacrerait l’entier de son temps à l’exercice d’une activité lucrative si elle n’était pas atteinte dans sa santé (cf. TF 9C_621/2013 du 28 janvier 2014 consid. 2.2 et 3). c) Cela étant admis, il convient de constater que la recourante peut prétendre, dès lors que les constatations sur le plan médical ne sont pas contestées (capacité de travail de 50 % dans toute activité) à une demi-rente d’invalidité depuis le 1 er février 2020 (art. 28 al. 1 let. b et 29 LAI, cf. aussi considérants 3b et 3c supra ). 7. En définitive, le recours, bien fondé, doit être admis et la décision attaquée réformée en ce sens que R.________ a droit à une demi-rente d’invalidité depuis le 1 er février 2020. 8. a) La procédure de recours en matière de contestations portant sur l’octroi ou le refus de prestations de l’assurance-invalidité est soumise à des frais de justice (art. 69 al. 1 bis LAI). Il convient de les fixer à 600 fr. et de les mettre à la charge de la partie intimée, vu l’issue du litige. b) La partie recourante, au bénéfice de l’assistance judiciaire (cf. décision du 9 mars 2022), obtient gain de cause et a droit à une indemnité de dépens à titre de participation aux honoraires de son conseil (art. 61 let. g LPGA). Après examen de la liste des opérations déposée le 28 septembre 2022 par Me Sansonnens, compte tenu de l’importance et de la complexité du litige, il convient d’arrêter l’indemnité à 2’800 fr., débours et TVA compris, et de la mettre intégralement à la charge de la partie intimée (art. 10 et 11 TFJDA [tarif cantonal vaudois du 28 avril 2015 des frais judiciaires et des dépens en matière administrative ; BLV 173.36.5.1]). c) Cette indemnité couvre le montant qui pourrait être alloué au titre de l’assistance judiciaire. La liste des opérations produite par Me Sansonnens ne peut pas être intégralement suivie. L’activité déployée dépasse ce qu’admet la pratique de la Cour dans l’estimation du temps objectivement requis pour le traitement de cas de ce genre eu égard à l’importance et à la complexité du litige. En particulier, la liste fait mention de quelques démarches antérieures à la date à compter de laquelle l’assistance judiciaire a été accordée (2 mars 2022), lesquelles n’ont pas à être prises en charge dans le cadre de la présente procédure, et le temps consacré à la rédaction des écritures apparaît excessif au regard de la seule question litigieuse soulevée dans le cadre de la procédure. De plus, il convient d’écarter le tarif horaire sur lequel se fonde la liste des opérations produite et de se référer au tarif horaire prévu par l’art. 2 al. 1 let. a RAJ (règlement cantonal vaudois du 7 décembre 2010 sur l’assistance judiciaire en matière civile ; BLV 211.02.3), soit 180 francs. Par ces motifs, la Cour des assurances sociales prononce : I. Le recours est admis. II. La décision rendue le 7 février 2022 par l’Office de l’assurance-invalidité pour le canton de Vaud est réformée en ce sens que R.________ a droit à une demi-rente d’invalidité depuis le 1 er février 2020. III. Les frais de justice, arrêtés à 600 fr. (six cents francs), sont mis à la charge de l’Office de l’assurance-invalidité pour le canton de Vaud. IV. L’Office de l’assurance-invalidité pour le canton de Vaud versera à R.________ une indemnité de 2'800 fr. (deux mille huit cents francs) à titre de dépens. Le président : Le greffier : Du L'arrêt qui précède, dont la rédaction a été approuvée à huis clos, est notifié à : ‑ Me Benoît Sansonnens, avocat (pour R.________),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