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79 vom 1. Februar 2022</w:t>
      </w:r>
    </w:p>
    <w:p>
      <w:r>
        <w:t>VD Tribunal cantonal, 2022-02-01, FR</w:t>
      </w:r>
    </w:p>
    <w:p>
      <w:r>
        <w:rPr>
          <w:b/>
        </w:rPr>
        <w:t xml:space="preserve">Quelle: </w:t>
      </w:r>
      <w:r>
        <w:t>https://mcp.opencaselaw.ch/entscheid/vd_findinfo_Arr_t___2022___79</w:t>
      </w:r>
    </w:p>
    <w:p>
      <w:r>
        <w:t>FR: VD_FINDINFO Arrêt / 2022 / 79 du 1 février 2022</w:t>
      </w:r>
    </w:p>
    <w:p>
      <w:r>
        <w:t>IT: VD_FINDINFO Arrêt / 2022 / 79 del 1 febbraio 2022</w:t>
      </w:r>
    </w:p>
    <w:p>
      <w:pPr>
        <w:pStyle w:val="Heading2"/>
      </w:pPr>
      <w:r>
        <w:t>Regeste</w:t>
      </w:r>
    </w:p>
    <w:p>
      <w:r>
        <w:t>ACCIDENT, FRAIS DE TRAITEMENT, ANALYSE, TRAITEMENT À L'ÉTRANGER, MALADIE INFECTIEUSE, URGENCE | 10 al. 1 LAA, 6 al. 1 LAA, 34 al. 2 LAMal, 52 LAMal, 4 LPGA, 36 al. 1 OAMal, 36 al. 2 OAMal</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le recourant a été victime d’un accident au sens de l’art. 6 al. 1 LAA, respectivement si les traitements et analyses dont celui-ci a bénéficié en [...] doivent être pris en charge par l’intimée.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w:t>
      </w:r>
    </w:p>
    <w:p>
      <w:r>
        <w:rPr>
          <w:b/>
        </w:rPr>
        <w:t>E. 4</w:t>
      </w:r>
    </w:p>
    <w:p>
      <w:r>
        <w:t>Symptômes persistants, invalidants pour le patient dans son activité quotidienne, pendant plus de six mois après la fin d’un traitement antibiotique adéquat, avec un ou plusieurs des symptômes suivants : fatigue, arthralgies, myalgies, dysfonction cognitive objectivée, troubles radiculaires ;</w:t>
      </w:r>
    </w:p>
    <w:p>
      <w:r>
        <w:rPr>
          <w:b/>
        </w:rPr>
        <w:t>E. 5</w:t>
      </w:r>
    </w:p>
    <w:p>
      <w:r>
        <w:t>Début des troubles compatible avec l’évolution de la borréliose de Lyme ; c’est-à-dire début des symptômes pendant la borréliose de Lyme aiguë ou immédiatement après, généralement dans les six mois après le début documenté et étayé de la borréliose de Lyme ;</w:t>
      </w:r>
    </w:p>
    <w:p>
      <w:r>
        <w:rPr>
          <w:b/>
        </w:rPr>
        <w:t>E. 6</w:t>
      </w:r>
    </w:p>
    <w:p>
      <w:r>
        <w:t>Des signes objectifs au status clinique général ou neurologique ne constituent pas un critère préalable au diagnostic ;</w:t>
      </w:r>
    </w:p>
    <w:p>
      <w:r>
        <w:rPr>
          <w:b/>
        </w:rPr>
        <w:t>E. 7</w:t>
      </w:r>
    </w:p>
    <w:p>
      <w:r>
        <w:t>Exclusion systématique et exhaustive d’autres maladies neurologiques, rhumatologiques ou autres ;</w:t>
      </w:r>
    </w:p>
    <w:p>
      <w:r>
        <w:rPr>
          <w:b/>
        </w:rPr>
        <w:t>E. 8</w:t>
      </w:r>
    </w:p>
    <w:p>
      <w:r>
        <w:t>Exclusion de maladies psychiatriques ou d’un état obsessionnel.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l'occurrence, il est constant qu'il n’existe aucune preuve directe, faute de constatation de l’existence d’un érythème migrant, que le recourant a été victime d’une morsure de tique en 2016 (cf. rapport du 17 juin 2020 du Dr J.________, rapport du 10 mars 2021 du Dr X.________ et rapport du 2 octobre 2021 de la Dre S.________). A cet égard, le recourant ne saurait rien tirer de la « liste des symptômes » du 10 avril 2017 du Dr B.________. En effet, ce médecin, s’il a bien indiqué que l’emplacement de la piqure se situerait sur la tête, a également mentionné ne pas avoir constaté d’érythème migrant. De fait, la survenance d’un tel événement n'a été que supposée en raison du diagnostic de borréliose de Lyme posé par le Dr X.________, lequel s'est fondé sur la présence, chez son patient, d'une symptomatologie consistant en fièvre rénitente, polyarthralgies, myalgies diffuses, fatigabilité, manque de concentration et de motivation (cf. rapport du 10 mars 2021 du Dr X.________). Ce diagnostic a ensuite été confirmé par la Clinique L.________ ainsi que par la Dre S.________, dans son rapport du 2 octobre 2021. b) Les Drs J.________, dans son rapport du 17 juin 2021, et Z.________, dans son rapport du 13 septembre 2021, ont, sur la base des sérologies de dépistage effectuées pour la maladie de Lyme, considéré que le diagnostic de maladie de Lyme ne pouvait être retenu chez le recourant. En effet, selon le Dr Z.________, les examens réalisés en Suisse, en date des 5 juillet et 15 septembre 2016, ont montré des IgG (immunoglobulines G) négatifs ainsi que des IgM (immunoglobulines M) positifs avec un Western Blot totalement négatif pour les IgG et les IgM (cf. rapport établi par le laboratoire R.________). Compte tenu de l’exposition au mois de mars 2016 et d’une symptomatologie non-aigue – soit en l’absence d’un érythème migrant, mais en présence de symptômes systémiques –, la sérologie en IgG aurait dû être positive en cas d’exposition avérée. Il s’agissait ainsi d’un faux positif en IgM, de sorte que le recourant ne remplissait pas les critères d’un diagnostic avéré de la borréliose. Le Dr J.________ est d’ailleurs arrivé aux mêmes conclusions. Le Dr Z.________ a encore ajouté que les examens sérologiques répétés en date du 11 avril 2017 en Suisse s’avéraient superposables à ceux présentés en 2016 (voir le rapport du 18 avril 2017 du laboratoire V.________). Les résultats des analyses effectuées en [...] – non reconnues par la Société suisse d’infectiologie – s’étaient au final également avérés négatifs (limites ; voir les rapports des 8 mars, 6 juillet, 4 octobre et 10 novembre 2017 du laboratoire de la Clinique L.________). c) Pour sa part, la Dre S.________, dans son rapport du 2 octobre 2021, estime, à la lumière de diverses analyses (examen neurologique, imagerie par résonnance magnétique cérébrale, examens de laboratoire, ponction lombaire), de particularités génétiques du recourant et de divers articles de doctrine médicale, qu’ils existent plusieurs indices laissant à penser que le recourant aurait développé une maladie de Lyme (présence de bandes oligoclonales dans le LCR, prédisposition génétique HLA, présence de coïnfections [ rickettsia conorii ; chlamydia pneumoniae ]). Pour autant, le raisonnement développé par la Dre S.________ est construit dans une très large mesure sur de simples hypothèses, lesquelles ne permettent cependant pas de retenir, faute d’éléments clairement objectivés, l’existence d’une borréliose de Lyme. d) Dans ces conditions, il y a lieu de considérer qu’il n’est pas établi, au degré de la vraisemblance prépondérante, que le recourant a été victime d’une morsure de tique à l’origine d’une maladie de Lyme et, partant, d’un accident au sens de la LAA. 7. Dans l’hypothèse où l’existence d’une morsure de tique à l’origine d’une maladie de Lyme et, partant, d’un accident au sens de la LAA devait néanmoins être reconnue, le recours devrait en tout état de cause être rejeté. a) En Suisse, la prise en charge des soins de santé par les outils collectifs de financement (assurance-maladie, assurance-accidents, assurance-invalidité) est gouvernée par le principe de la territorialité. En vertu de ce principe, seules les prestations dispensées en Suisse sont, en règle générale, prises en charge par les assurances sociales ; certaines situations particulières permettent néanmoins des exceptions. b) S’agissant de l’assurance-accidents, l’art. 10 al. 1 LAA prévoit que l’assuré a notamment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(let. a), aux médicaments et analyses ordonnés par le médecin ou le dentiste (let. b), ainsi qu’au traitement, à la nourriture et au logement dans la division commune d’un hôpital (let. c). L’alinéa 3, 1 ère phrase, de cette disposition précise que le Conseil fédéral peut définir les prestations obligatoirement à la charge de l’assurance et limiter la couverture des frais de traitement à l’étranger. Faisant usage de la délégation de compétence de l’art. 10 al. 3 LAA, le Conseil fédéral a édicté l’art. 17 de l’ordonnance du 20 décembre 1982 sur l’assurance-accidents (OLAA ; RS 832.202), selon lequel les frais occasionnés par un traitement médical nécessaire subi à l’étranger sont remboursés jusqu’à concurrence du double du montant de ceux qui auraient résulté d’un traitement en Suisse. Bien que la notion d’urgence ne soit pas expressément mentionnée dans la loi, le critère de la nécessité implique que seuls les soins permettant à la personne assurée de rentrer en Suisse pour y poursuivre le traitement sont à charge de l’assurance sociale (ANNE-SYLVIE DUPONT, Les soins dispensés hors des frontières cantonales et nationales, in Mobilité et migration : impacts pour le droit de la santé, Berne 2019, p. 121). Ne sont ainsi pas couverts par l’assurance-accidents – sous réserve de dispositions expresses d’une convention internationale – les soins dispensés à un assuré suisse qui se rend volontairement à l’étranger pour bénéficier d’un traitement programmé (KASPAR GEHRING, in KVG/UVG Kommentar, 2018, n.  18 ad art.</w:t>
      </w:r>
    </w:p>
    <w:p>
      <w:r>
        <w:rPr>
          <w:b/>
        </w:rPr>
        <w:t>E. 10</w:t>
      </w:r>
    </w:p>
    <w:p>
      <w:r>
        <w:t>a) Sur le vu de ce qui précède, le recours doit être rejeté et la décision sur opposition du 17 février 2020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le juge unique prononce : I. Le recours est rejeté. II. La décision sur opposition rendue le 17 février 2020 par Q.________, est confirmée. III. Il n’est pas perçu de frais, ni alloué de dépens. Le juge unique :               La greffière : Du L'arrêt qui précède est notifié à : ‑ Me Guillaume Etier (pour P.________),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