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696 vom 3. Oktober 2022</w:t>
      </w:r>
    </w:p>
    <w:p>
      <w:r>
        <w:t>VD Tribunal cantonal, 2022-10-03, FR</w:t>
      </w:r>
    </w:p>
    <w:p>
      <w:r>
        <w:rPr>
          <w:b/>
        </w:rPr>
        <w:t xml:space="preserve">Quelle: </w:t>
      </w:r>
      <w:r>
        <w:t>https://mcp.opencaselaw.ch/entscheid/vd_findinfo_Arr_t___2022___696</w:t>
      </w:r>
    </w:p>
    <w:p>
      <w:r>
        <w:t>FR: VD_FINDINFO Arrêt / 2022 / 696 du 3 octobre 2022</w:t>
      </w:r>
    </w:p>
    <w:p>
      <w:r>
        <w:t>IT: VD_FINDINFO Arrêt / 2022 / 696 del 3 ottobre 2022</w:t>
      </w:r>
    </w:p>
    <w:p>
      <w:pPr>
        <w:pStyle w:val="Heading2"/>
      </w:pPr>
      <w:r>
        <w:t>Regeste</w:t>
      </w:r>
    </w:p>
    <w:p>
      <w:r>
        <w:t>RENTE D'INVALIDITÉ, RÉVISION{PRESTATION D'ASSURANCE}, COMPARAISON DES REVENUS, ÉVALUATION DE L'INVALIDITÉ, SALAIRE MOYEN, STATISTIQUE | 28 LAI, 16 LPGA, 17 LPGA</w:t>
      </w:r>
    </w:p>
    <w:p>
      <w:pPr>
        <w:pStyle w:val="Heading2"/>
      </w:pPr>
      <w:r>
        <w:t>Erwägungen</w:t>
      </w:r>
    </w:p>
    <w:p>
      <w:r>
        <w:rPr>
          <w:b/>
        </w:rPr>
        <w:t>E. 3</w:t>
      </w:r>
    </w:p>
    <w:p>
      <w:r>
        <w:t>Le litige porte sur le doit du recourant à une rente d’invalidité à partir de juin 2013, singulièrement sur le point de savoir si l’OAI est fondé à octroyer au recourant un trois-quarts de rente d’invalidité à partir de cette date.</w:t>
      </w:r>
    </w:p>
    <w:p>
      <w:r>
        <w:rPr>
          <w:b/>
        </w:rPr>
        <w:t>E. 4</w:t>
      </w:r>
    </w:p>
    <w:p>
      <w:r>
        <w:t>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les 3 et 28 juillet 2020 (ATF 144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(jusqu’au 31 décembre 2021), la révision se justifie lorsque le degré d’invalidité franchit un taux déterminant (ATF 133 V 545 consid. 6.2 à 7).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143 V 295 consid. 2.2 ; 126 V 75 ; Margit Moser-Szeless, in Dupont/Moser-Szeless [édit.], Loi sur la partie générale des assurances sociales, Commentaire romand, Bâle 2018, n° 25 et n° 33 ad art. 16).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(ATF 128 V 29 consid. 1 et les références citées ; TF 8C_312/2016 du 13 mars 2017 consid. 5.4.2).</w:t>
      </w:r>
    </w:p>
    <w:p>
      <w:r>
        <w:rPr>
          <w:b/>
        </w:rPr>
        <w:t>E. 5</w:t>
      </w:r>
    </w:p>
    <w:p>
      <w:r>
        <w:t>a) Les décisions litigieuses font suite à l’arrêt de renvoi de la Cour de céans du 2 décembre 2019 (AI 145/17 – 384/2019), qui a fait l’objet d’un recours au Tribunal fédéral qui a été déclaré irrecevable (TF 9C_61/2020). Le litige s’inscrit dans le cadre de la révision du droit aux prestations initiée par l’OAI en 2015, après avoir eu connaissance de l’inscription au registre du commerce, en date du 18 juin 2013, de la société K.________ SA, dont l’administrateur unique avec signature individuelle était le recourant, lequel était alors au bénéfice d’une rente entière d’invalidité depuis le 1 er septembre 2010 (décision de l’OAI du 19 mars 2012 et communication du 6 septembre 2013). Compte tenu de la violation de l’obligation d’informer du recourant, l’OAI a suspendu le versement de ses prestations à titre provisionnel (décision du 24 août 2015, confirmée sur recours par la Cour de céans le 10 novembre 2016 [AI 224/15 - 325/2016]). A l’issue de l’instruction médicale, il a été jugé, dans l’arrêt de renvoi du 2 décembre 2019, que le recourant présente depuis 2013 une capacité de travail de 50 % dans une activité adaptée avec une diminution de rendement de 10 à 20 %. La cause a été renvoyée à l’intimé pour calcul du degré d’invalidité, puis nouvelle décision. b)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(ATF 140 III 466 consid. 4.2.1 et références citées). c) Il n’y a dès lors pas lieu de revenir en l’occurrence sur la question de la prise en charge par l’OAI des frais du rapport rédigé par le Dr S.________ le 18 juillet 2016, question qui a été tranchée dans l’arrêt du 2 décembre 2019 (consid. 8). La Cour de céans s’est par ailleurs déjà prononcée sur l’existence d’une violation de l’obligation d’informer en lien avec la création de K.________ SA. De même, la capacité de travail du recourant depuis 2013 a été déterminée dans l’arrêt de renvoi précité et n’a plus à être examinée ici. Comme cela ressort de cet arrêt, la capacité de travail arrêtée est exigible sans qu’il soit nécessaire de mettre en œuvre une prise en charge médicale multidisciplinaire. Il convient uniquement de déterminer si cette capacité de travail de 50 % avec une diminution de rendement de 10 à 20 % entraîne une modification du degré d’invalidité du recourant propre à modifier son droit aux prestations, au sens de l’art. 17 LPGA (dans sa teneur en vigueur jusqu’au 31 décembre 2021).</w:t>
      </w:r>
    </w:p>
    <w:p>
      <w:r>
        <w:rPr>
          <w:b/>
        </w:rPr>
        <w:t>E. 6</w:t>
      </w:r>
    </w:p>
    <w:p>
      <w:r>
        <w:t>a) En ce qui concerne le revenu d’invalide retenu par l’OAI, le recourant se limite à le contester, sans fonder son désaccord sur la moindre motivation. Le revenu arrêté n’apparaît toutefois pas critiquable. En l’absence de l’exercice d’une activité lucrative qui mettrait pleinement en valeur la capacité de travail résiduelle du recourant, c’est à juste titre que l’OAI s’est fondé sur l’ESS 2012, table TA1, pour calculer son revenu d’invalide, plus précisément sur le salaire auquel pouvaient prétendre les hommes pour des activités simples dans les domaines de la production et des services. Il a ensuite indexé ce revenu à l’année 2013 et a correctement tenu compte d’un taux de travail de 50 % avec une baisse de rendement moyenne de 15 %. L’impact négatif du temps de travail partiel sur les perspectives de gain du recourant a par ailleurs été pris en considération de manière adéquate par l’application d’un taux d’abattement de 5 % sur ce revenu. Il convient donc de confirmer le revenu d’invalide de 26'499 fr. 46. b) Le recourant critique également le revenu sans invalidité retenu par l’OAI et estime qu’il y a lieu de se fonder sur les données salariales statistiques de l’ESS 2012, table 1_B, en tenant compte du niveau de compétence maximal, de sorte que son revenu sans invalidité doit être fixé à 119'553 francs. aa) Dans la décision attaquée, l’OAI s’est basé sur le montant retenu dans sa précédente décision du 19 mars 2012, à savoir 69'773 francs. Ce revenu théorique avait été établi en application de la méthode extraordinaire à la suite de l’arrêt de renvoi de la Cour de céans du 18 novembre 2010. Il a servi au calcul du degré d’invalidité qui a conduit à l’octroi d’un quart de rente du 1 er août 2006 au 31 août 2010 par la décision du 19 mars 2012, laquelle est entrée en force sans faire l’objet d’un recours. L’OAI a indexé ce revenu à l’année 2013, ce qui correspond à 73'508 francs. Contrairement à ce que prétend le recourant, rien ne permet d’estimer que ce salaire s’écarte de la réalité économique, dans la mesure où il a été fixé sur la base des champs d’activité exercés par le recourant dans son entreprise et des salaires applicables à ces activités. Le Tribunal fédéral a par ailleurs eu l’occasion de préciser qu’il n’était pas contraire au droit de se fonder sur le revenu sans invalidité utilisé dans le cadre de l’évaluation de l’invalidité selon la méthode extraordinaire pour effectuer une comparaison ultérieure des gains, dans le cadre d’une révision (TF 9C_501/2009 du 12 mai 2010 consid. 5.2). L’OAI était dès lors fondé à se baser sur ce revenu sans invalidité pour le calcul du droit aux prestations. Comparé au revenu avec invalidité de 26'499 fr. 46, on obtient un degré d’invalidité de 63,95 %, arrondi à 64 %, donnant droit à un trois-quarts de rente. bb) Le recours aux données salariales de l’ESS pour calculer le revenu sans invalidité n’est de toute façon pas plus favorable au recourant. i) Lorsque les tables ESS sont appliquées, il convient de se fonder, en règle générale, sur les salaires mensuels indiqués dans la table TA1, à la ligne « total secteur privé » ;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En outre, lorsque les circonstances du cas concret le justifient, on peut s’écarter de la table TA1 (salaire mensuel brut [valeur centrale] selon les branches économiques dans le secteur privé) pour se référer à la table T17 (auparavant TA7, salaire mensuel brut [valeur centrale] selon le domaine d'activité dans les secteurs privé et public ensemble), si cela permet de fixer plus précisément le revenu d’invalide et que le secteur en question est adapté et exigible (TF 8C_66/2020 du 14 avril 2020 consid. 4.2.2). Si cette jurisprudence a été développée pour le revenu d’invalide, rien n’empêche de l'appliquer mutatis mutandis à la détermination du revenu sans invalidité lorsque celui-ci doit exceptionnellement être déterminé sur la base des tables ESS (TF 8C_66/2020 précité consid. 4.3). En l’occurrence, il n’y a pas de raison de s’écarter de la table TA1 pour se référer à la table 1_B comme le requiert le recourant. Celui-ci n’indique pas pour quelle raison il conviendrait de se référer à d’autres données que celles de la table TA1 et on ne voit pas en quoi une autre table permettrait de fixer de manière plus précise le revenu sans invalidité du recourant. On peut par ailleurs relever que tant la table 1_B que la table T17, à laquelle l’OAI se réfère, regroupent les données salariales des secteurs privés et publics confondus. Or, dans la mesure où, avant ses problèmes de santé, le recourant tenait une carrosserie dans une petite localité vaudoise – qu’il aurait manifestement continué à exploiter (cf. enquête économique pour les indépendants du 8 octobre 2007) – on ne voit pas ce qui motiverait, dans ce contexte, de tenir compte des données salariales du domaine public également. ii) Le recourant soutient que c’est le plus haut niveau de compétence qui lui est applicable.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et du type de travail, de la formation nécessaire à la pratique de la profession et de l'expérience professionnelle (voir tableau TA1_skill_level de l'ESS 2012 ; ATF 142 V 178 consid. 2.5.3).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(TF 8C_801/2021 du 28 juin 2022 consid. 2.3 et les références). L'accent est donc mis sur le type de tâches que l'assuré est susceptible d'assumer en fonction de ses qualifications mais pas sur les qualifications en elles-mêmes (TF 8C_66/2020 précité consid. 4.2.1 et les références). En l’occurrence, le recourant, qui est titulaire d’un CFC de tôlier en carrosserie, effectuait tous types de travaux de carrosserie dans son entreprise, se concentrant principalement sur les travaux de tôlerie. Il s’occupait des contacts avec la clientèle, ainsi que des devis et factures. Il avait deux employés, à savoir un peintre en carrosserie engagé à taux partiel et un aide carrossier à temps plein (cf. enquête économique pour les indépendants du 8 octobre 2007). Il exerçait ainsi exclusivement des tâches pratiques sans complexité particulière, ainsi que des tâches administratives, lesquelles correspondent à un niveau de compétences 2. On peut également préciser qu’une expérience professionnelle de plusieurs années – sans formations continues formelles ou autres qualifications particulières acquises durant l'exercice de la profession – ne justifie en principe pas, même après un apprentissage professionnel effectué à l'origine, une classification plus élevée au-delà du niveau de compétence 2 (TF 8C_581/2021 du 19 janvier 2022 consid. 4.4 et les références). C’est donc à juste titre que l’OAI s’est référé, dans sa troisième variante de calcul du degré d’invalidité, au salaire de 5'539 fr. auquel pouvaient prétendre en 2012 des hommes actifs dans le commerce de gros et la réparation d’automobiles (lignes 45-46 du TA1_skill_level) pour un niveau de compétence 2, se rapportant à une moyenne de travail de 40 heures par semaine. En revanche, il convient non pas d’adapter ce salaire à la durée hebdomadaire moyenne générale de travail dans les entreprises en 2012 (41,7 heures), comme l’a fait l’OAI, mais à celle de la branche considérée, à savoir 42,3 heures. Il faut également relever que dans son calcul l’OAI a mentionné une indexation à l’année 2013, mais ne l’a pas effectuée. Le revenu sans invalidité calculé sur la base de l’ESS doit ainsi être arrêté à 70'781 fr. 94, ce qui donne un degré d’invalidité de 62,56 %, qu’il convient d’arrondir à 63 % (cf. ATF 130 V 121) et qui donne droit à un trois-quarts de rente. c) Il résulte de ce qui précède que le recourant présente depuis 2013 un degré d’invalidité lui donnant droit à un trois-quarts de rente d’invalidité. C’est donc à juste titre que l’OAI a procédé à la révision du droit aux prestations du recourant en lui allouant un trois-quarts de rente depuis juin 2013 en lieu et place de la rente entière qu’il touchait. Comme déjà mentionné dans l’arrêt de renvoi du 2 décembre 2019, l’OAI était par ailleurs fondé à procéder à la révision du droit aux prestations de manière rétroactive, compte tenu de la violation de l’obligation d’informer commise par le recourant, point qui a déjà été jugé et sur lequel il n’y a pas lieu de revenir en dépit des griefs du recourant.</w:t>
      </w:r>
    </w:p>
    <w:p>
      <w:r>
        <w:rPr>
          <w:b/>
        </w:rPr>
        <w:t>E. 7</w:t>
      </w:r>
    </w:p>
    <w:p>
      <w:r>
        <w:t>a) Les recours sont par conséquent rejetés.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Au vu de l’avance de frais de 400 fr. versée dans chacune des causes AI 224/20 et AI 272/20, un montant de 400 fr. sera restitué au recourant.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