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664 vom 30. September 2022</w:t>
      </w:r>
    </w:p>
    <w:p>
      <w:r>
        <w:t>VD Tribunal cantonal, 2022-09-30, FR</w:t>
      </w:r>
    </w:p>
    <w:p>
      <w:r>
        <w:rPr>
          <w:b/>
        </w:rPr>
        <w:t xml:space="preserve">Quelle: </w:t>
      </w:r>
      <w:r>
        <w:t>https://mcp.opencaselaw.ch/entscheid/vd_findinfo_Arr_t___2022___664</w:t>
      </w:r>
    </w:p>
    <w:p>
      <w:r>
        <w:t>FR: VD_FINDINFO Arrêt / 2022 / 664 du 30 septembre 2022</w:t>
      </w:r>
    </w:p>
    <w:p>
      <w:r>
        <w:t>IT: VD_FINDINFO Arrêt / 2022 / 664 del 30 settembre 2022</w:t>
      </w:r>
    </w:p>
    <w:p>
      <w:pPr>
        <w:pStyle w:val="Heading2"/>
      </w:pPr>
      <w:r>
        <w:t>Regeste</w:t>
      </w:r>
    </w:p>
    <w:p>
      <w:r>
        <w:t>ATTEINTE À LA SANTÉ PHYSIQUE, ATTEINTE À LA SANTÉ PSYCHIQUE, COMPARAISON DES REVENUS, REVENU D'INVALIDE, REVENU SANS INVALIDITÉ, INDEMNITÉ POUR ATTEINTE À L'INTÉGRITÉ, ADMISSION DE LA DEMANDE, DÉCISION DE RENVOI, ACCIDENT DE GRAVITÉ MOYENNE, CAUSALITÉ ADÉQUATE, CAUSALITÉ NATURELLE | 18 al. 1 LAA, 19 al. 1 LAA, 24 al. 1 LAA, 25 al. 1 LAA, 6 al. 1 LAA, 16 LPGA, 43 al. 1 LPGA, 36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poursuite du versement des indemnités journalières au-delà du 30 juin 2021 et de la prise en charge du traitement médical dès cette date en l’absence (alléguée par le recourant) de stabilisation de son état de santé, subsidiairement sur le droit à une rente d’invalidité et le taux à la base de l’indemnité pour atteinte à l’intégrité.</w:t>
      </w:r>
    </w:p>
    <w:p>
      <w:r>
        <w:rPr>
          <w:b/>
        </w:rPr>
        <w:t>E. 3</w:t>
      </w:r>
    </w:p>
    <w:p>
      <w:r>
        <w:t>Dans un grief de nature formelle, qu’il convient de traiter à titre préalable, le recourant se plaint d’une violation de son droit d’être entendu, l’intimée n’ayant « pas donné suite à sa requête d’instruction complémentaire sur le plan médical ». a) aa)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bb)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en tant qu’il porte sur le refus implicite de donner suite aux mesures d’instruction requises, le grief tiré de la violation du droit d’être entendu se confond avec celui de l’obligation d’instruire (art. 43 al. 1 LPGA), respectivement de constatation manifestement inexacte ou incomplète des faits pertinents et d’appréciation des preuves entachées d’arbitraire. Il sera donc examiné avec le fond du litige. En tout état de cause, on relèvera déjà que quoi qu’il en soit, le recourant a bénéficié de la possibilité de s’exprimer devant une autorité de recours jouissant d’un plein pouvoir d’examen, à savoir la Cour de céans (ATF 145 I 167 consid. 4.4 ; 142 II 218 consid. 2.8.1 ; 137 I 195 consid. 2.3.2), tout en exposant exhaustivement ses griefs, ce qui signifie a priori que la décision sur opposition litigieuse était suffisamment explicite pour être attaquée en connaissance de cause.</w:t>
      </w:r>
    </w:p>
    <w:p>
      <w:r>
        <w:rPr>
          <w:b/>
        </w:rPr>
        <w:t>E. 4</w:t>
      </w:r>
    </w:p>
    <w:p>
      <w:r>
        <w:t>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le versement d’une rente d’invalidité (art. 18 al. 1 LAA) et une indemnité pour atteinte à l’intégrité (art. 24 al. 1 LAA).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ATF 115 V 403 consid. 5), d'un traumatisme psychique consécutif à un choc émotionnel (ATF 129 V 177 consid. 4.2), ou encore d'un traumatisme de type « coup du lapin » à la colonne cervicale, d'un traumatisme analogue à la colonne cervicale ou d'un traumatisme cranio-cérébral (ATF 134 V 109). Dans la troisième hypothèse, la jurisprudence distingue, tout d'abord,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l’examen de la causalité adéquate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 117 V 369 consid. 4b). Il s’agit donc d’appliquer par analogie les critères jurisprudentiels utilisés en cas d’atteintes additionnelles à la santé psychique (tel que le prévoit notamment l'ATF 129 V 402 consid. 4.4.1 et les références citées), mais sans distinguer entre les composantes somatiques et psychiques des lésions (ATF 134 V 109 consid. 9.5 ; 127 V 102 consid. 5b/bb et les références citées ; ATF 115 V 133 consid. 6c/aa ; 115 V 403 consid. 5c/aa). En vue de juger du caractère adéquat du lien de causalité, il faut ensuite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et que les symptômes se trouvent toujours au premier plan, la causalité adéquate doit être examinée en appliquant, par analogie, les critères suivants (ATF 134 V 109 consid. 10.3 ; 117 V 359 consid. 6a ; 117 V 369 consid. 4b)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citées).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probable de la capacité de travail réduite par l’accident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alors à l’assureur-accidents de clore le cas en mettant fin aux frais de traitement ainsi qu’aux indemnités journalières, en examinant le droit à une rente d’invalidité et à une indemnité pour atteinte à l’intégrité.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citée). Il ne suffit pas non plus qu’un traitement physiothérapeutique puisse éventuellement être bénéfique pour la personne assurée (TF 8C_736/2017 du 20 août 2018 consid.</w:t>
      </w:r>
    </w:p>
    <w:p>
      <w:r>
        <w:rPr>
          <w:b/>
        </w:rPr>
        <w:t>E. 4.1</w:t>
      </w:r>
    </w:p>
    <w:p>
      <w:r>
        <w:t>et la référence citée). Dans ce contexte, l’état de santé doit être évalué de manière prospective (TF 8C_235/2020 du 15 février 2021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8C_160/2012 du 2 mars 2017 consid. 4.1 ; TF 8C_862/2008 du 19 août 2009 consid. 4.2). b) Selon l'art. 61 let. c LPGA, le tribunal établit avec la collaboration des parties les faits déterminants pour la solution du litige; il administre les preuves médicales nécessaires et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a) En l’espèce, le recourant a été victime d’un accident en date du 27 novembre 2018 lors duquel il a subi des lésions au dos et à la tête ayant notamment nécessité deux séjours à la Clinique G.________ en raison de divers troubles somatiques et psychiques. b) Sont litigieux le refus de l’intimée de poursuivre le versement des indemnités journalières et le remboursement des frais de traitement au-delà du 30 juin 2021 et la décision de passer à l’examen du droit à la rente d’invalidité. Ces questions reviennent à trancher le point de savoir si l’état de santé du recourant était stabilisé au 30 juin 2021, à savoir s’il n’y avait plus lieu d’attendre de la continuation du traitement médical une sensible amélioration au-delà de cette date. Dans ce cadre, le recourant fait pour l’essentiel valoir que son état n’est pas stabilisé à trois titres : en raison de lésions orthopédiques, du fait d’atteintes neurologiques, de troubles mictionnels et, enfin, de problèmes psychiques. aa) S’agissant des fractures des vertèbres dorsales, il ressort des consultations de l’appareil locomoteur pratiquées par la Dre N.________ (cf. rapports des 15 juillet 2019, 18 septembre 2019, 22 octobre 2019, 23 novembre 2020, 13 janvier 2021, 11 février 2021, 25 mars 2021, 23 avril 2021 et 27 mai 2021) et des rapports de la Clinique G.________ des 25 juin 2019 et 28 février 2020 que la prise en charge consiste en la prescription de physiothérapie, avec réentraînement à l’effort et au port de charges, et d’antalgiques ; aucune nouvelle intervention chirurgicale n’est envisagée. Le Dr C.________ a au demeurant relevé que la poursuite de la physiothérapie, prise isolément, n'était pas susceptible d’améliorer notablement la situation (cf. rapport du 15 mars 2021). Il convient dès lors de retenir que, au regard de la jurisprudence précitée (cf. considérant 4b ci-dessus), la stabilisation doit être admise. bb) aaa) S’agissant de l’atteinte neurologique en relation avec le traumatisme, il apparaît que le Dr Y.________ a conclu à un examen neurologique « strictement normal » ne retrouvant pas d'atteinte des paires crâniennes, sans syndrome pyramidal, extrapyramidal ou syndrome cérébelleux pas plus qu’il n’existait   d'argument anamnestique ou clinique en faveur d’une atteinte médullaire (cf. rapport du 11 mai 2020). De son côté, le Dr E.________ a jugé que le recourant ne présentait pas de séquelles neurologiques en relation avec le traumatisme du rachis (cf. rapport du 25 février 2021). bbb) En ce qui concerne plus particulièrement l’atteinte neuropsychologique, le Dr Y.________ a recommandé un bilan respiratoire pulmonaire en vue d'éliminer toute composante respiratoire pouvant majorer les aspects de fatigue et interférer avec les troubles neuro-cognitifs et leur évaluation (cf. rapport du 11 mai 2020). Au terme de son examen pneumologique, le Dr Z.________ a posé les diagnostics de ronchopathie et instabilité du sommeil multifactorielle et de status post toux chronique sur reflux gastro-oesophagien (cf. rapport du 25 août 2020). Au vu de ces diagnostics, une symptomatologie obstructive nocturne influant sur la fatigue et les troubles neurocognitifs peut être exclue. En effet, si le Dr Y.________ réservait une réévaluation neuropsychologique avant amélioration et/ou stabilisation sur l’aspect psychologique des douleurs cervicales et dorsales (cf. rapport du 11 mai 2020), le Dr E.________ conclut clairement à une stabilisation sur le plan neurologique et neuropsychologique (cf. rapport du 25 février 2021). cc) S’agissant des troubles mictionnels, les avis au dossier divergent quant au point de savoir s’ils sont d’origine somatique – ce que prétend le recourant (cf. également le rapport du Dr J.________ du 2 novembre 2021) – ou psychique (cf. l’avis du Dr C.________ du 25 mars 2021). S’ils sont d’origine somatique, leur stabilisation doit être examinée pour autant qu’un lien de causalité naturelle avec l’accident du 27 novembre 2018 soit admissible. Or tel n’est pas le cas en l’espèce. En effet,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sera observé que ces troubles n’ont jamais été évoqués, ni diagnostiqués à la faveur des séjours à la Clinique G.________, ni lors des consultations auprès de la Dre N.________ jusqu’au 23 mars 2021 (rapport du 25 mars 2021), que l’assuré a apparemment consulté pour la première fois en mars 2021 (cf. rapports des 11 et 15 mars 2021 établis respectivement par les Drs J.________ et C.________) et que le lien que le Dr J.________ fait entre ces troubles et les fractures vertébrales pourrait être induit par les plaintes de l’assuré quant à la survenance de ces troubles. Ainsi, dans son rapport du 11 mars 2021, il relève que l’intéressé a subi une fracture des vertèbres D8 et D12 en 2018 traitée par cimentoplastie et que, depuis lors, il se plaint de troubles mictionnels sous forme de pollakiurie diurne, 3 à 4 nycturies, mictions impérieuses et impression de mauvaise vidange vésicale. Ces mêmes plaintes figurent également dans le rapport du 2 novembre 2021, dans lequel le Dr J.________ fait état, depuis l’accident de 2018, de troubles mictionnels sous forme de mictions fréquentes chaque heure et un à deux levers nocturnes, les mictions étant parfois impérieuses. Dans l’hypothèse où ces troubles étaient survenus dans les suites immédiates de l’accident ou de l’opération, il paraît inconcevable, en particulier au vu de leur fréquence, que leur diagnostic ait échappé à l’attention des médecins en charge de l’assuré, plus encore que celui-ci n’en ait pas rapporté les symptômes. Il résulte de ce qui précède qu’il convient de nier l’existence d’un lien de causalité naturelle entre l’accident du 27 novembre 2018 et les troubles mictionnels présentés par le recourant. c) Il résulte de ce qui précède qu’au plan somatique, l’intimée était fondée à considérer que l’état de santé du recourant était stabilisé au 30 juin 2021 et à statuer sur le droit à la rente en mettant de ce fait fin au versement des indemnités journalières et à la prise en charge du traitement médical. Le grief formulé par le recourant à cet égard est infondé et doit être rejeté. d) Cela étant, il ressort du dossier que le recourant a également présenté des troubles psychiques dans les suites de son accident. Leur stabilisation, y compris celle des troubles mictionnels s’il devait être admis qu’ils sont d’origine psychogène, n’a lieu d’être examinée que pour autant qu’un lien de causalité adéquate soit admis. L’existence d’un lien de causalité naturelle n’est pas sujette à discussion, dès lors que le Dr S.________ admet un tel lien entre l’accident du 27 novembre 2018 et les diagnostics retenus (trouble de l’adaptation avec réaction de type post-traumatique et trouble douloureux chronique avec facteurs somatiques et psychiques) chez un assuré ne révélant pas d’antécédents psychiatriques antérieurement à l’événement accidentel précité (cf. rapport du 10 février 2021). e) Se pose la question de savoir si un lien de causalité adéquate peut être admis en l’espèce. Le recourant expose qu’il remplit, à tout le moins cinq critères, à savoir le caractère impressionnant de l’accident, la gravité des lésions physiques (propres à entraîner des troubles psychiques), la durée anormalement longue du traitement médical, les douleurs physiques persistantes ainsi que le degré et la durée de l’incapacité de travail due aux lésions physiques. f) Il est constant que l’événement du 27 novembre 2018 est un accident de gravité moyenne au sens strict, tel que retenu par l’intimée et admis par le recourant quand bien même il prétend être tombé d’une hauteur de 3 mètres 50. Or il ressort clairement du rapport d’investigations policières établi le 31 janvier 2019 par la police cantonale valaisanne que la hauteur de la chute est de 2 mètres 65, hauteur usuelle entre deux étages dans le domaine de la construction d’appartements, ce que confirme au demeurant la plaquette de promotion de l’immeuble versée au dossier. Quoi qu’il en soit, cette conclusion s’impose si l’on compare cet accident avec la casuistique tirée de la jurisprudence en matière de chutes d’une certaine hauteur. Ont en effet été considérées comme faisant partie de la limite supérieure de cette catégorie, les chutes qui se sont produites d’une hauteur sensiblement plus élevée que 2 mètres 80 (soit entre 5 et 8 mètres) et qui ont entraîné des lésions osseuses relativement sévères. Le Tribunal fédéral a classé les cas de chute d’une hauteur d’environ 3 mètres plutôt dans la catégorie des accidents de gravité moyenne (TF 8C_826/2011 du 17 décembre 2012 consid.</w:t>
      </w:r>
    </w:p>
    <w:p>
      <w:r>
        <w:rPr>
          <w:b/>
        </w:rPr>
        <w:t>E. 6.2</w:t>
      </w:r>
    </w:p>
    <w:p>
      <w:r>
        <w:t>et les références citées ; voir également TF 8C_547/2020 du 1 er mars 2021). g) Il reste à déterminer si le recourant cumule trois des critères dégagés par la jurisprudence ou, à tout le moins, que l’un d’entre eux se soit manifesté de manière spécialement intense (cf. considérant 4a/bb supra ). aa) S'agissant des circonstances concomitantes particulièrement dramatiques ou du caractère particulièrement impressionnant de l'accident,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8C_96/2017 du 24 janvier 2018 consid. 5.1 ; TF 8C_1007/2012 du 11 décembre 2013 consid. 5.4.1). Par ailleurs, il convient d'accorder à ce critère une portée moindre lorsque la personne ne se souvient pas de l'accident (TF 8C_929/2015 du 5 décembre 2016 consid. 5.3; TF 8C_818/2015 du 15 novembre 2016 consid. 6.1 ; TF 8C_434/2012 du 21 novembre 2012 consid. 7.2.3 ; TF 8C_584/2010 du 11 mars 2011 consid. 4.3.2, in SVR 2011 UV n° 10 ; TF 8C_624/2010 du 3 décembre 2010 consid. 4.2.1). En l’occurrence, cette condition n’est pas réalisée. On notera, tout d’abord, que le recourant a subi, ensuite de sa chute, une perte de connaissance laquelle a été de brève durée puisque, à l’admission au service des urgences de l’Hôpital D.________, il était légèrement somnolent (lettre de sortie du 13 décembre 2018). La portée de ce critère doit dès lors être relativisée. Pour le reste, si le fait de tomber d’une hauteur de 2 mètres 65 a pu subjectivement revêtir chez l’intéressé un caractère relativement impressionnant, le déroulement de l’accident du 27 novembre 2018 n’apparaît pas du point de vue objectif – seul déterminant en l’espèce – particulièrement dramatique. bb) En ce qui concerne la gravité ou la nature particulière des lésions, le diagnostic de traumatisme cranio-cérébral ne suffit pas, en soi, pour conclure à la réalisation de ce critère (ATF 117 V 369 consid. 4b). Il faut encore que les troubles caractéristiques d'une atteinte de ce type soient particulièrement graves ou qu'il existe des circonstances spécifiques qui influencent le tableau clinique (ATF 134 V 109 consid. 10.2.2 et les références; TF 8C_727/2016 du 20 octobre 2017 consid. 9.3). Tel n’est toutefois pas le cas en l’espèce. Le recourant n’a été hospitalisé que quatre jours (du 27 au 30 novembre 2018) en raison d’un traumatisme cranio-cérébral léger à modéré et de fractures aux vertèbres dorsales D8 et D12, lesquelles ont fait l’objet d’une intervention chirurgicale dont les suites se sont avérées simples avec une bonne réduction des fractures au contrôle radiologique (cf. lettre de sortie du 13 décembre 2018). Si une embarrure pariéto-occipitale gauche a été mise en évidence lors de l’hospitalisation du recourant, elle a pu être traitée conservativement et il n’y avait pas de lésions décelables associées. Du point de vue neurologique, le Dr E.________ a certes admis que l’intéressé présentait des séquelles post-traumatiques objectivables mais elles étaient restreintes en ce sens qu’elles étaient localisées dans la zone corticale au niveau de l’embarrure pariéto-occipitale gauche. Selon lui, ces lésions n’expliquaient ni le caractère, ni l’ampleur des troubles ni leur variation dans le temps. Il a ainsi relevé que le trouble mnésique ne pouvait pas être imputé à la lésion pariétale gauche. L’atteinte cognitive était tout au plus modérée (cf. rapport du 25 février 2021), tandis que le Dr Y.________ a conclu à un examen neurologique « strictement normal » (cf. rapport du 11 mai 2020). cc) Le critère de la durée anormalement longue du traitement médical, pertinent en matière de troubles psychiques, correspond à celui de l'administration prolongée d'un traitement médical spécifique et pénible, s'agissant des traumatismes cranio-cérébraux (TF 8C_220/2016 du 10 février 2017 consid. 6.2). L'aspect temporel n'est pas seul décisif ; sont également à prendre en considération la nature et l'intensité du traitement, et si l'on peut en attendre une amélioration de l'état de santé de l'assuré (TF 8C_755/2012 du 23 septembre 2013 consid. 4.2.3 ; TF 8C_361/2007 du 6 décembre 2007 consid. 5.3 ; TF U 92/06 du 4 avril 2007 consid. 4.5 avec les références). Par ailleurs, un traitement médicamenteux consistant en des antalgiques et des antidépresseurs n'a pas le caractère de pénibilité requis par la jurisprudence (ATF 134 V 109 consid. 10.2.3 ; TF 8C_55/2013 du 7 janvier 2014 consid. 4.5.4 ; TF 8C_878/2012 du 4 septembre 2013 consid. 4.2.4 ; TF 8C_305/2011 du 6 mars 2012 consid. 3.5). En l’espèce, le traitement médical a consisté en une hospitalisation de quatre jours au cours de laquelle le recourant a fait l’objet d’une intervention chirurgicale après quoi le traitement a revêtu un caractère conservateur consistant essentiellement, outre deux séjours à la Clinique G.________, en des séances de physiothérapie et en la prescription de médicaments antalgiques sans aucune nouvelle indication chirurgicale. Ce critère n’est lors pas réalisé, étant précisé que ce sont surtout les nombreuses investigations médicales qui en ont prolongé la durée. dd) S'agissant de l’intensité des douleurs, pour qu'un assuré puisse se prévaloir de ce critère,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(ATF 134 V 109 consid. 10.2.4 ; TF 8C_135/2011 du 21 septembre 2011 consid. 6.1.5). Dans leurs rapports des 25 juin 2019 et 28 février 2020, les médecins de la Clinique G.________ ont relevé que le recourant se plaignait de douleurs au niveau dorsal et cervical sans qu’ils aient fait mention d’une incohérence de sa part. Ils ont toutefois souligné que la situation devait évoluer sur le plan psychologique et qu’un suivi devait être mis en place en vue de définir des stratégies de gestion de la douleur. Lors de son examen final, le Dr C.________ a constaté qu’en dépit des traitements mis en œuvre et du temps écoulé depuis l’accident, les douleurs restaient très importantes et constituaient la plainte principale du recourant. Elles concernaient essentiellement la région dorso-lombaire, les douleurs pariétales gauches étant au second plan. Si le comportement douloureux s’était manifesté tout au long de l’examen clinique, il apparaissait que celui-ci n’avait rien révélé de particulier hormis une mobilité rachidienne limitée dans tous les plans, des changements de positions lents et précautionneux ainsi qu’une station assise inconfortable. L’imagerie ne permettait pas non plus d’expliquer les plaintes formulées. Aussi existait-il, d’après le Dr C.________, une importante discordance entre l’ampleur des douleurs avancées et les constatations objectives de l’examen radioclinique qui allaient plutôt dans le sens de séquelles relativement modérées. Il convient encore de relever dans ce contexte que la Dre N.________ a préconisé la poursuite du programme de réentraînement à l’effort et au port de charges avec une fréquence plus rapprochée du suivi afin de motiver le recourant (cf. rapport du 11 février 2021). Ainsi, même s’il évitait le port de charges et les travaux physiquement contraignants, le recourant accompagnait ses enfants à l’école, les ramenait à la maison, effectuait les commissions avec son épouse et conduisait la voiture sur de courts trajets, de sorte qu’il convient d’admettre qu’il n’est pas entravé de manière significative dans sa vie quotidienne. Compte tenu de l’ensemble de ces éléments, le Dr C.________ a conclu son appréciation en soulignant qu’une composante psychogène jouait un rôle important dans la situation médicale du recourant (cf. rapport du 15 mars 2021). Il s’ensuit que le critère de l’intensité des douleurs n’est pas non plus réalisé. ee) Il ne ressort d’emblée pas du dossier que des erreurs dans le traitement médical aurait entraîné une aggravation notable des séquelles de l'accident. ff) La même conclusion s'impose en ce qui concerne le critère des difficultés apparues au cours de la guérison et les complications importantes. gg) Finalement, en ce qui concerne l’importance de l’incapacité de travail en dépit des efforts reconnaissables de l’assuré,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 TF 8C_115/2011 du 26 janvier 2012 consid. 4.3.7). En l’occurrence, le recourant n’a pas repris l’exercice d’une activité lucrative depuis l’accident dont il a été victime en novembre 2018. S’il n’est pas contesté que l’activité de maçon n’est plus exigible, les médecins de la Clinique G.________ ont estimé, dès 2019, que le pronostic de réinsertion était favorable dans une activité adaptée aux limitations fonctionnelles retenues (pas de port de charges excédant 5 à 10 kg ni de port de charges répété supérieures à 5 kg, pas de maintien prolongé du tronc en porte-à-faux, pas de position statique debout ou de marche prolongée, pas de flexion/torsion répétée du tronc). Ils ont toutefois souligné que des facteurs personnels et contextuels étaient susceptibles d’entraver le processus de réinsertion et d’influencer défavorablement le retour au travail. Outre que le recourant apparaissait centré sur ses douleurs, ils ont noté une cotation élevée de ces dernières, une kinésiophobie, un catastrophisme et l’existence d’une procédure pénale dirigée contre son ancien employeur (cf. rapport du 25 juin 2019). Dans son rapport du 15 juillet 2019, la Dre N.________ a retenu le diagnostic de trouble de l’adaptation avec réaction de type post-traumatique au vu des éléments évoqués par le recourant (évitement des chantiers, impression de chute en cas de montée ou descente d’escaliers, réveils nocturnes fréquents, tendance à l’isolement). Ce diagnostic a été confirmé par le Dr S.________, lequel ne s’est toutefois pas prononcé sur la capacité de travail avant que le cas ne soit considéré comme stabilisé sur le plan somatique (cf. rapport du 10 février 2021). A cet égard, le Dr C.________ a jugé que, d’un strict point de vue orthopédique, la capacité de travail était entière dans une activité adaptée aux limitations fonctionnelles énoncées (pas de port de charges moyennes ni de positions statiques prolongées, surtout en porte-à-faux du tronc) même si une évaluation réaliste aurait dû, selon lui, intégrer la problématique psychique (cf. rapport du 15 mars 2021). On peut déduire de ces considérations que l'incapacité de travail attestée n'est pas uniquement due à des atteintes somatiques. Dans ces conditions, il n'est pas possible de retenir que le critère du degré et de la durée de l'incapacité de travail due aux seules lésions physiques est réalisé. e) En fin de compte, aucune des conditions alternatives pour admettre l’existence d’un lien de causalité adéquate entre les troubles psychiques et un accident de gravité moyenne n’est réalisée dans le cas d’espèce. Partant, en l’absence de causalité adéquate, la question de la stabilisation de l’état psychique ne se pose pas.</w:t>
      </w:r>
    </w:p>
    <w:p>
      <w:r>
        <w:rPr>
          <w:b/>
        </w:rPr>
        <w:t>E. 7</w:t>
      </w:r>
    </w:p>
    <w:p>
      <w:r>
        <w:t>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w:t>
      </w:r>
    </w:p>
    <w:p>
      <w:r>
        <w:rPr>
          <w:b/>
        </w:rPr>
        <w:t>E. 8</w:t>
      </w:r>
    </w:p>
    <w:p>
      <w:r>
        <w:t>a) La fixation du revenu sans invalidité est contestée par le recourant. Concernant ce revenu, il convient de déterminer le revenu réalisé dans l’année précédant le 27 novembre 2018. Le recourant a travaillé auprès de F.________ Sàrl jusqu’au 30 septembre 2017. Il est inscrit au chômage dès décembre 2017 (cf. extrait du compte individuel du 27 mai 2021) et à partir du 22 janvier 2018 (17 selon le décompte de salaire du mois de janvier 2018) réalise un gain intermédiaire auprès de L.________ Sàrl, tout d’abord pour une durée déterminée jusqu’au 31 mars 2018 puis pour une durée indéterminée à un taux d’activité contractuel de 40 % (cf. contrat de travail du 22 janvier 2018). On ne peut pas se référer au salaire horaire réalisé en gain intermédiaire puisqu’au final, le revenu du recourant demeurera celui fixé par les organes de l’assurance-chômage, quelles que soient les conditions contractuelles, notamment salariées de l’activité en gain intermédiaire. Il convient donc de se référer aux douze derniers salaires réalisés auprès de F.________ Sàrl, soit un revenu de 61'282 fr. 90 (cf. questionnaire pour l’employeur complété le 17 juillet 2019 à l’attention de l’Office de l’assurance-invalidité pour le canton de Vaud). b) Le revenu avec invalidité ne peut être déterminé en l’état actuel du dossier, l’instruction médicale s’avérant lacunaire. En effet, le Dr E.________ a retenu, sur la base des éléments contemporains à l’accident, de l’évolution globale, de l’imagerie médicale et des constatations cliniques, une atteinte cognitive tout au plus modérée (cf. rapport du 25 février 2021). Il a expliqué que le recourant présentait des séquelles post-traumatiques objectivables mais qu’elles étaient restreintes en ce sens que leur localisation se situait à la zone corticale au niveau de l’embarrure pariéto-occipitale gauche. D’après ce médecin, ces lésions ne permettaient pas d’expliquer leur caractère, l’ampleur des troubles et leur variation dans le temps. A titre d’exemple, le trouble mnésique – dont le recourant s’est également plaint lors de l’examen par le Dr C.________ – ne pouvait pas être imputé à la lésion pariétale gauche. Le Dr E.________ en déduisait qu’il n’était pas possible d’évaluer exactement la « vraie » gravité des troubles neuropsychologiques en lien avec l’accident du 27 novembre 2018, raison pour laquelle il estimait nécessaire une appréciation médico-théorique (cf. rapport du 25 février 2021). Selon lui, l’atteinte cognitive n’entraînerait pas d’incapacité de travail dans l’activité habituelle de maçon. Néanmoins, au vu des limitations fonctionnelles déjà retenues sur le plan somatique (cf. rapport du Dr C.________ du 15 mars 2021), il paraît a priori que l’activité de maçon ne devrait plus être adaptée. Il manque donc une appréciation de l’influence des troubles neuropsychologiques, dans la mesure où ils sont en lien de causalité avec l’accident du 27 novembre 2018 et sur la capacité de travail dans une activité adaptée, étant sur ce point rappelé la remarque du Dr C.________ selon laquelle la capacité de travail aurait dû faire l’objet d’une évaluation consensuelle pour être réaliste (cf. rapport du 15 mars 2021), point de vue auquel le Service médical régional de l’assurance-invalidité (SMR) a adhéré dès lors qu’il a diligenté une expertise pluridisciplinaire (cf. avis médical du 3 décembre 2021). Il ne saurait cependant être ordonné la suspension de la cause dans l’attente du dépôt de cette expertise puisqu’en matière d’assurance-invalidité la question ici essentielle du lien de causalité n’est pas abordée.</w:t>
      </w:r>
    </w:p>
    <w:p>
      <w:r>
        <w:rPr>
          <w:b/>
        </w:rPr>
        <w:t>E. 9</w:t>
      </w:r>
    </w:p>
    <w:p>
      <w:r>
        <w:t>En dernier lieu et en tout état de cause, il s’impose d’examiner la quotité de l’indemnité pour atteinte à l’intégrité allouée par la CNA à concurrence de 30 % que le recourant conteste en estimant qu’elle devrait s’élever à 50 %.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de l’OLAA (ATF 124 V 209 consid. 4a/cc ; TF 8C_198/2020 du 28 septembre 2020 consid. 3.1) et permettent de procéder à une appréciation plus nuancée, lorsque l’atteinte d’un organe n’est que partielle. d) En cas de concours de plusieurs atteintes à l’intégrité physique, mentale ou psychique, dues à un ou plusieurs accidents, l’indemnité pour atteinte à l’intégrité est fixée d’après l’ensemble du dommage (art. 36 al. 3, première phrase, OLAA). e) En l’espèce, l’intimée a fixé le taux de l’indemnité pour atteinte à l’intégrité à 30 % sur la base, d’une part, de l’appréciation du Dr E.________ (cf. rapport du 25 février 2021, dans lequel il retenait un taux d’atteinte à l’intégrité de 20 % pour les troubles neurologiques consécutifs à l’accident du 27 novembre 2018) et, d’autre part, sur celle du Dr C.________ (cf. rapport du 15 mars 2021, dans lequel il retenait un taux d’atteinte à l’intégrité de 10 % pour les atteintes orthopédiques découlant de l’accident précité). Dans la mesure où le taux retenu résulte de l’addition des estimations effectuées par les spécialistes prénommés, il ne peut être retenu. En effet, en s’abstenant de procéder à une évaluation de l’ensemble du dommage subi par le recourant, l’intimée a contrevenu à l’art. 36 al. 3 OLAA. Aussi convient-il, sur ce point, de compléter l’instruction aux fins d’effectuer une pondération des différents taux retenus au moyen d’une appréciation d’ensemble.</w:t>
      </w:r>
    </w:p>
    <w:p>
      <w:r>
        <w:rPr>
          <w:b/>
        </w:rPr>
        <w:t>E. 10</w:t>
      </w:r>
    </w:p>
    <w:p>
      <w:r>
        <w:t>Il ressort des considérants qui précèdent que l’instruction menée par l’intimée est lacunaire et ne permet pas de se prononcer en connaissance de cause sur l’ensemble des points litigieux. Il convient par conséquent de renvoyer la cause à la CNA, dès lors que c’est à elle qu’il incombe en premier lieu d’instruire, conformément au principe inquisitoire qui régit la procédure dans le domaine des assurances sociales (art. 43 al. 1 LPGA). Il lui appartiendra de compléter l’instruction médicale par une évaluation bi-disciplinaire, orthopédique et neuropsychologique, qui elle seule permettra d’apprécier le plus objectivement possible la capacité de travail et les limitations fonctionnelles dans une activité adaptée, tout comme l’indemnité pour atteinte à l’intégrité devra également être appréciée sur la base de l’ensemble des atteintes à la santé présentées par le recourant.</w:t>
      </w:r>
    </w:p>
    <w:p>
      <w:r>
        <w:rPr>
          <w:b/>
        </w:rPr>
        <w:t>E. 11</w:t>
      </w:r>
    </w:p>
    <w:p>
      <w:r>
        <w:t>Compte tenu de l’issue de la présente procédure, la requête du recourant tendant à la mise en œuvre de mesures d’instruction complémentaires sous la forme d’une expertise portant sur les aspects somatique et psychique de son état de santé est sans objet, de même que sa requête de suspension de la présente procédure jusqu’à droit connu sur la demande de prestations de l’assurance-invalidité déposée par ses soins.</w:t>
      </w:r>
    </w:p>
    <w:p>
      <w:r>
        <w:rPr>
          <w:b/>
        </w:rPr>
        <w:t>E. 12</w:t>
      </w:r>
    </w:p>
    <w:p>
      <w:r>
        <w:t>En définitive, le recours, partiellement bien fondé, doit être admis, ce qui entraîne l’annulation de la décision attaquée et le renvoi de la cause à l’intimée pour complément d’instruction au sens des considérants puis nouvelle décision.</w:t>
      </w:r>
    </w:p>
    <w:p>
      <w:r>
        <w:rPr>
          <w:b/>
        </w:rPr>
        <w:t>E. 13</w:t>
      </w:r>
    </w:p>
    <w:p>
      <w:r>
        <w:t>Il n’y a pas lieu de percevoir de frais judiciaires (art. 61 let. f bis LPGA). Vu le sort de ses conclusions, le recourant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