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651 vom 15. November 2022</w:t>
      </w:r>
    </w:p>
    <w:p>
      <w:r>
        <w:t>VD Tribunal cantonal, 2022-11-15, FR</w:t>
      </w:r>
    </w:p>
    <w:p>
      <w:r>
        <w:rPr>
          <w:b/>
        </w:rPr>
        <w:t xml:space="preserve">Quelle: </w:t>
      </w:r>
      <w:r>
        <w:t>https://mcp.opencaselaw.ch/entscheid/vd_findinfo_Arr_t___2022___651</w:t>
      </w:r>
    </w:p>
    <w:p>
      <w:r>
        <w:t>FR: VD_FINDINFO Arrêt / 2022 / 651 du 15 novembre 2022</w:t>
      </w:r>
    </w:p>
    <w:p>
      <w:r>
        <w:t>IT: VD_FINDINFO Arrêt / 2022 / 651 del 15 novembre 2022</w:t>
      </w:r>
    </w:p>
    <w:p>
      <w:pPr>
        <w:pStyle w:val="Heading2"/>
      </w:pPr>
      <w:r>
        <w:t>Regeste</w:t>
      </w:r>
    </w:p>
    <w:p>
      <w:r>
        <w:t>SOCIÉTÉ À RESPONSABILITÉ LIMITÉE, ASSOCIÉ GÉRANT, PARTICIPATION OBLIGATOIRE, ASSURANCE-VIEILLESSE, SURVIVANTS ET INVALIDITÉ, DÉCISION DE COTISATIONS ARRIÉRÉES, ACTIVITÉ LUCRATIVE, ÉTAT ÉTRANGER, ACTIVITÉ LUCRATIVE DÉPENDANTE, ACTIVITÉ LUCRATIVE INDÉPENDANTE, SALAIRE DÉTERMINANT | 1a al. 1 let. b LAVS, 7 let. h RAVS</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La preuve de la notification d'une décision et de la date à laquelle cette notification a eu lieu incombe, en principe, à l'administration. Si la notification d'un acte envoyé sous pli simple ou la date de la notification sont contestées et qu'il existe effectivement un doute à ce sujet, il y a lieu de se fonder sur les déclarations du destinataire de la communication (ATF 129 I 8 consid. 2.2; 124 V 400 consid. 2b ; 121 V 5 consid. 3b). En l’espèce, selon les explications de la recourante, la décision sur opposition litigieuse lui a été notifiée, sous pli simple, en date du 4 août 2020. Il convient de se fonder sur ces déclarations, à défaut d’indications contraires de l’autorité intimée. Compte tenu des féries judiciaires estivales courant du 15 juillet au 15 août inclusivement (cf. art. 60 al. 2 LPGA, lequel renvoie à l’art. 38 al. 4 let. b LPGA), le délai de recours est arrivé à échéance le 14 septembre 2020. C’est à cette date que la recourante a déposé son acte de recours à un office de Poste suisse (cf. art. 60 al. 2 LPGA, lequel renvoie à l’art. 39 al. 1 LPGA), tel que cela ressort de la confirmation de quittance de la Poste suisse du 14 septembre 2020. Par conséquent, le recours a été déposé dans le délai légal de recours. c) Conformément à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Pour les litiges relatifs aux cotisations paritaires, le tribunal compétent en application de l'art. 58 al. 1 LPGA devrait être celui du domicile ou du siège de l'employeur, quand bien même les salariés disposent également d'une voie de recours ; c'est en effet là, généralement, que l'autorité judiciaire est la plus proche de l'objet du litige. On ne peut toutefois pas exclure qu'un for alternatif au domicile du salarié recourant soit reconnu (Jean Métral in Dupont / Moser-Szeless [édit.], Loi sur la partie générale des assurances sociales, Commentaire romand, Bâle 2018, n° 4 ad art. 58 LPGA). Par ailleurs, dans le domaine des assurances sociales, le Tribunal cantonal connaît des recours conformément à l'art. 57 de LPGA (art. 93 let. a LPA-VD [loi cantonale vaudoise du 28 octobre 2008 sur la procédure administrative ; BLV 173.36]). En l’espèce, le recours a été déposé auprès du tribunal compétent, le siège de A.________Sàrl, seule partie recourante et employeur, se situant dans le canton de Vaud, à [...] (cf. art. 58 al. 1 LPGA). Même s’il devait être tenu compte du domicile des personnes assurées, B.A________ et B.B.________ – lesquelles ne sont, on le rappelle, pas parties au recours –, leur dernier domicile en Suisse se situait également à [...], de sorte que la compétence de la Cour de céans est, quoi qu’il en soit, acquise (cf. art. 58 al. 2 LPGA). d) En définitive, respectant les autres conditions formelles prévues par la loi (art. 61 let. b LPGA notamment), le recours est recevable.</w:t>
      </w:r>
    </w:p>
    <w:p>
      <w:r>
        <w:rPr>
          <w:b/>
        </w:rPr>
        <w:t>E. 2</w:t>
      </w:r>
    </w:p>
    <w:p>
      <w:r>
        <w:t>En l’occurrence, le litige porte sur le point de savoir si l’intimée est en droit de prélever des cotisations paritaires, par reprise de salaires des mois de juin 2016 à décembre 2018, auprès de la recourante s’agissant de l’activité déployée par B.A________, B.B.________ et Q.________Limited, singulièrement sur la question de la qualification de ladite activité (salariée ou indépendante).</w:t>
      </w:r>
    </w:p>
    <w:p>
      <w:r>
        <w:rPr>
          <w:b/>
        </w:rPr>
        <w:t>E. 2.2</w:t>
      </w:r>
    </w:p>
    <w:p>
      <w:r>
        <w:t>du « service agreement » passé par les époux B.________ prescrit que la recourante s’acquitte des coûts raisonnables du couple B.________. Enfin, tout comme dans le « service agreement » concernant les époux B.________, Q.________Limited ne peut pas déléguer ses obligations à un tiers, sans l’accord écrit préalable de la recourante (art. 5.7 du « service agreement » conclu par Q.________Limited). c) Dans un ultime moyen, la recourante se plaint d’une violation de l’obligation d’instruire, au sens de l’art. 43 LPGA, s’agissant de l’état de fait prévalant en 2018, soulignant singulièrement que sa comptabilité pour l’année 2018 n’était pas bouclée. Cela étant, l’intimée disposait de suffisamment d’éléments matériels pour se prononcer sur l’année 2018, à savoir du « service agreement » liant la recourante et Q.________Limited du 1 er avril 2017 jusqu’à la fin de l’année 2019 (art. 4.1), d’une déclaration du 31 janvier 2019 de la recourante – dans laquelle apparaissait le montant total des salaires bruts soumis à cotisations sociales payé en 2018 (aucune somme n’étant mentionnée s’agissant des époux B.________) et à laquelle était annexée une attestation des « salaires AVS 2018 » du 17 janvier 2019 – et d’un un extrait du compte 4085 « sous-traitance » pour l’année 2018 de la recourante – lequel mettait en évidence des paiements mensuels de 30'000 fr. (qualifiés d’« honoraires ») en faveur de Q.________Limited, ce dernier élément démontrant à satisfaction la parfaite application du « service agreement » durant toute l’année 2018. Au demeurant, la recourante n’expose pas en quoi la situation en 2018 aurait été différente de celle prévalant du 1 er avril 2017 au 31 décembre 2017. Son grief doit ainsi être rejeté.</w:t>
      </w:r>
    </w:p>
    <w:p>
      <w:r>
        <w:rPr>
          <w:b/>
        </w:rPr>
        <w:t>E. 3</w:t>
      </w:r>
    </w:p>
    <w:p>
      <w:r>
        <w:t>Dans un grief de nature formelle, qu’il convient d’examiner à titre préalable, la recourante se prévaut de plusieurs violations de son droit d’être entendue. a) En premier lieu, elle reproche à l’intimée d’avoir étendu le contrôle employeur à l’année 2018 sans l’en avoir préalablement avertie, de sorte qu’elle n’avait pas valablement pu faire valoir ses arguments relatifs à cette période. aa)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bb) En l’occurrence, la recourante affirme qu’il aurait été renoncé à ce que le contrôle employeur porte sur l’année 2018. Or, dans son courrier du 1 er octobre 2019, l’intimée l’a expressément avertie que le contrôle employeur porterait sur les années 2015 à 2018 et n’a, par la suite, jamais modifié l’étendue dudit contrôle. Le fait que la recourante ait informé l’intimée, par courrier du 11 octobre 2019, que le bouclement des comptes pour l’année 2018 était encore en cours ou que le conseiller-réviseur ait indiqué, dans son rapport de contrôle du 17 février 2020, que la période contrôlée couvrait les années 2015 à 2017 et avoir pu contrôler intégralement la comptabilité des salaires, le Grand-livre et les comptes d’exploitation pour les années 2015 à 2017, n’y change rien. De surcroît, la recourante était parfaitement au fait de l’étendue du contrôle –Z.________SA s’étant, par exemple, référée au « contrôle AVS pour les périodes 2015-2018 » dans son courriel du 19 novembre 2019 – et a valablement pu faire valoir ses arguments concernant l’année 2018 au cours de la procédure administrative. En effet, ensuite du contrôle du 18 octobre 2019, le conseiller-réviseur a requis, par téléphone du 21 octobre 2019, un extrait du compte 4085 « sous-traitance » pour l’année 2018, ainsi que les avis de débit relatifs aux paiements d’honoraires en faveur de Q.________Limited pour les mois de novembre 2017 et décembre 2018 (cf. notes établies le 18 octobre 2019 par Z.________SA). Ces documents lui ont été transmis par courriel du 23 octobre 2019 de Z.________SA. De même, par courriel du 22 janvier 2020, Z.________SA a communiqué au conseiller-réviseur un mémo explicatif sur l’origine et les activités de A.________Sàrl et de Q.________Limited depuis l’année 2015. L’intimée n’a ainsi pas violé le droit d’être entendue de la recourante. b) En deuxième lieu, la recourante fait valoir qu’antérieurement et postérieurement à la décision du 24 février 2020, elle avait cherché à plusieurs reprises à prendre contact avec le contrôleur-réviseur ou l’intimée pour se rencontrer et discuter de la situation, sans qu’aucune suite n’ait été donnée à ses requêtes. aa) L’art. 42 LPGA prévoit que les parties ont le droit d’être entendues. Il n’est pas nécessaire de les entendre avant une décision sujette à opposition. Selon la jurisprudence, le droit d'être entendu, tel que garanti par l’art. 29 al. 2 Cst., comprend notamment le droit pour le justiciable d'obtenir qu'il soit donné suite à ses offres de preuves pertinentes, lorsque cela est de nature à influer sur la décision à rendre (ATF 145 I 167 consid. 4.1 ; 143 III 65 consid. 3.2; 142 II 218 consid. 2.3). De surcroît, en matière d’assurances sociales, la procédure se déroule principalement par écrit ; les art. 42 LPGA et 29 al. 2 Cst. ne garantissent pas, de façon générale, le droit d'être entendu oralement (ATF 134 I 140 consid. 5.3 ; Anne-Sylvie Dupon t, op. cit. , n 12 ad art. 42 LPGA). bb) En l’occurrence, antérieurement à la reddition de la décision du 24 février 2020, le conseiller-réviseur est allé bien au-delà de ce à quoi l’obligeait l’art. 42 LPG. En sus de procéder au contrôle en date du 18 octobre 2019, il a en effet rencontré la recourante et Z.________SA le 12 décembre 2019. Au demeurant, contrairement à ce qu’allègue la recourante, lorsque Z.________SA a communiqué, par courriel du 22 janvier 2020, un mémo explicatif au conseiller-réviseur, elle n’a pas formulé de demande d’entretien supplémentaire, précisant simplement rester à disposition pour tout complément d’information. S’agissant de la période postérieure à la reddition de la décision du 24 février 2020, il est constant que, le 24 mars 2020, la recourante a formé opposition à l’encontre de ladite décision (cf. art. 52 LPGA). Dans ce cadre, elle pouvait librement exposer sa position et ses objections, ainsi que produire tous les éléments qui lui paraissaient utiles – notamment s’agissant de la situation prévalant en 2018 –, l’intimée disposant d’un pouvoir d’examen complet en fait, en droit et en opportunité (cf. ATF 125 V 415 ss consid. 2 ; 125 V 118 consid. 2a ; TF 9C_777/2013 du 13 février 2014 consid. 5.2.1 ; Valérie Défago Gaudin, op. cit. , n 2 ad. art. 52 LPGA), étant souligné que la recourante est, elle-même, soumise à une obligation de collaborer à l’instruction (cf. art. 28 al. 1 LPGA). Or, elle est demeurée inactive, n’a produit aucune pièce supplémentaire et n’a fourni aucune explication particulière, son acte opposition du 24 mars 2020 s’apparentant plutôt à une déclaration d’opposition. Elle ne saurait ainsi reprocher à la caisse intimée de ne pas lui avoir donné l’occasion de produire ses moyens de preuves, ce qui vaut particulièrement le cas pour sa situation en 2018. Au demeurant, elle ne pouvait considérer son opposition comme un simple moyen de sauvegarder ses droits dans l’attente du résultat d’éventuelles discussions téléphoniques avec le contrôleur-réviseur. Ce dernier ne disposait en effet d’aucune compétence s’agissant d’un éventuel réexamen de la décision du 24 février 2020, étant relevé que, selon l’art. 163 al. 3 RAVS (règlement du 31 octobre 1947 sur l’assurance-vieillesse et survivants ; RS 831.101), les organes de contrôle doivent se limiter au contrôle, ne peuvent ni prendre des décisions ni donner des ordres et peuvent jouer un rôle consultatif. Par surabondance, il est relevé que le conseiller-réviseur a, quoi qu’il en soit, rappelé Z.________SA, la renvoyant à la voie de l’opposition (cf. courriel du 24 mars 2020 de Z.________SA). S’agissant finalement d’une proposition de rencontre avec l’intimée – élément dont la preuve n’est nullement apportée par la recourante –, il est rappelé que l’intéressée ne disposait pas d’un droit à être entendue oralement. Il découle de ce qui précède que le droit d’être entendue de la recourante n’a pas été violé. c) En dernier lieu, la recourante argue que la décision sur opposition litigieuse n’est pas suffisamment motivée. Selon elle, le fait de nier l’existence juridique de Q.________Limited – en retenant que la rémunération versée par A.________Sàrl représentait le salaire de B.A________ et B.B.________ – nécessitait une argumentation particulièrement détaillée, laquelle fait défaut en l’espèce. aa) Aux termes de l’art. 49 al. 3 LPGA, l’assureur doit motiver ses décisions si elles ne font pas entièrement droit aux demandes des parties. Cette obligation, qui découle également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En l’occurrence, l’intimée a exposé de manière étayée les raisons factuelles et juridiques l’ayant conduite à retenir que les honoraires perçus par B.A________ et B.B.________, par l’intermédiaire de Q.________Limited, devaient être qualifiés de salaire déterminant soumis à cotisations sociales. La recourante a d’ailleurs été en mesure de les comprendre et de les contester de manière utile devant la Cour de céans. On ne saurait ainsi reprocher à l’intimée un défaut de motivation de la décision sur opposition litigieuse, respectivement une violation du droit d’être entendue de la recourante.</w:t>
      </w:r>
    </w:p>
    <w:p>
      <w:r>
        <w:rPr>
          <w:b/>
        </w:rPr>
        <w:t>E. 4</w:t>
      </w:r>
    </w:p>
    <w:p>
      <w:r>
        <w:t>a) S’agissant de l’assujettissement obligatoire à l’AVS, l’art. 1a al. 1 let. b LAVS prévoit que sont assurés conformément à la présente loi les personnes physiques qui exercent en Suisse une activité lucrative. b) Est considéré comme exerçant une activité lucrative en Suisse et doit payer des cotisations sur les revenus en découlant celui qui est inscrit au registre du commerce comme administrateur, comme directeur ou au titre d'une autre fonction dirigeante d'une personne morale ayant son siège en Suisse et se trouve en mesure d'exercer une influence déterminante sur l'activité de la société suisse, même s'il a son domicile à l'étranger ; peu importe qu'il n'use pas effectivement de ses compétences et que la gestion effective de la société soit déléguée à d'autres personnes ( ATF 119 V 65 consid. 3 et 4 ; TF 9C_105/2011 du 12 octobre 2011 consid. 4.2). En lien avec cette jurisprudence, les Directives sur l’assujettissement aux assurances AVS et AI (ci-après : les DAA, valables dès le 1 er janvier 2009, état au 1 er janvier 2022, établies par l’Office fédéral des assurances sociales [ci-après : l’OFAS]) ont précisé que la gestion d’une entreprise avec siège en Suisse est considérée, en lien avec « les Etats non contractants », comme une activité lucrative exercée en Suisse, indépendamment de si elle a lieu depuis la Suisse ou de manière prépondérante depuis l’étranger. La personne qui a son domicile dans « un Etat non contractant », mais qui est active en Suisse, par exemple comme membre du conseil d’administration, comme directeur ou qui a une autre fonction dirigeante au sein d’une personne morale qui a son siège en Suisse, est considérée en principe comme exerçant son activité lucrative en Suisse (cf. ch. 3084 des DAA). Par « Etat non contractant », les DAA désignent un Etat avec lequel la Suisse n’a pas conclu de convention de sécurité sociale (cf. abréviation, p. 35, des DAA). Au contraire, en cas d’application de l’ALCP (Accord du 21 juin 1999 avec la Communauté européenne et ses Etats membres sur la libre circulation des personnes ; RS 0.142.112.681), de l’AELE (Convention du 4 janvier 1960 instituant l’Association Européenne de Libre-Echange ; RS 0.632.31) ou d’une convention bilatérale, d’autres règles sont applicables s’agissant des dirigeants d’une entreprise avec siège en Suisse ayant leur domicilie à l'étranger (cf. ch. 3088 ss des DAA). c) De surcroît, pour l’admission de l’exercice d’une activité lucrative en Suisse, le fait que les honoraires ne soient pas versés directement à l’intéressé, mais transférés à une société établie à l’étranger, n’est pas non plus déterminant. Même si aucune rétribution n’est versée à l’entreprise étrangère ou à l’intéressé, celui-ci est néanmoins considéré exercer une activité en Suisse (Michel Valterio, Droit de l’assurance-vieillesse et survivants (AVS) et de l’assurance-invalidité (AI), Commentaire thématique, Genève / Zurich / Bâle 2011, n° 55 p. 30 ; ch. 3085 des DAA).</w:t>
      </w:r>
    </w:p>
    <w:p>
      <w:r>
        <w:rPr>
          <w:b/>
        </w:rPr>
        <w:t>E. 5</w:t>
      </w:r>
    </w:p>
    <w:p>
      <w:r>
        <w:t>a) Chez une personne qui exerce une activité lucrative, l’obligation de payer des cotisations dépend, notamment, de la qualification de cette activité comme salariée ou indépendante (art. 3, 5 et 9 LAVS, art. 6 ss RAVS ; TF 9C_213/2016 du 17 octobre 2016 consid. 3 et les références citées). b)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1 ère phrase,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c/aa) Selon l'art. 7 let. h RAVS, le salaire déterminant pour le calcul des cotisations comprend notamment les tantièmes, les indemnités fixes et les jetons de présence des membres de l’administration et des organes dirigeants des personnes morales. Lorsque des honoraires sont versés par une société anonyme à un membre du conseil d'administration, il est présumé qu'ils lui sont versés en sa qualité d'organe d'une personne morale et qu'ils doivent être, par conséquent, considérés comme salaire déterminant réputé provenir d’une activité salariée (TF 9C_437/2021 du 15 mars 2022 consid. 4.1 et 4.3 ; TF 9C_727/2014 du 23 mars 2015 consid. 4.1 ; TF 9C_365/2007 du 1 er juillet 2008 consid. 5.1 et les références citées ; cf. également ATF 121 V 80 consid. 2). Cette présomption peut être renversée en établissant que les honoraires versés ne font pas partie du salaire déterminant ; c'est le cas lorsque les indemnités n'ont aucune relation directe avec le mandat de membre du conseil d'administration, mais qu'elles sont payées pour l'exécution d'une tâche que l'administrateur aurait assumée même sans appartenir au conseil d'administration (ATF 105 V 113 consid. 3 ; TF 9C_278/2021 du 8 septembre 2021 consid. 4.4 ; TF 9C_727/2014 susmentionné ; TF 9C_365/2007 du 1 er juillet 2008 consid. 5.1). bb) L’OFAS a établi des Directives sur le salaire déterminant dans l’AVS, Al et APG (ci-après : DSD, valables dès le 1 er janvier 2019, état au 1 er janvier 2022),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Les DSD ont repris la jurisprudence du Tribunal fédéral susmentionnée (cf. consid. 5c/aa supra ) et indiqué qu’un assuré qui a la qualité d’organe d’une personne morale peut, en même temps, avoir vis-à-vis de la société le statut de salarié comme celui d’indépendant (ainsi par exemple le constructeur indépendant,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(ch. 2057 des DSD). cc) S’agissant d’une société à responsabilité limitée, l’art. 810 al. 2 CO (Code des obligations ; RS 220) prévoit que les gérants ont les attributions intransmissibles et inaliénables suivantes : exercer la haute direction de la société et établir les instructions nécessaires (ch. 1) ; décider de l’organisation de la société dans le cadre de la loi et des statuts (ch. 2) ; fixer les principes de la comptabilité et du contrôle financier ainsi que le plan financier, pour autant que celui-ci soit nécessaire à la gestion de la société (ch. 3) ; exercer la surveillance sur les personnes chargées de parties de la gestion pour s’assurer notamment qu’elles observent la loi, les statuts, les règlements et les instructions données (ch. 4) ; établir le rapport de gestion (comptes annuels, rapport annuel et, le cas échéant, comptes de groupe ; ch. 5) ; préparer l’assemblée des associés et exécuter ses décisions (ch. 6) ; et informer le tribunal en cas de surendettement (ch. 7).</w:t>
      </w:r>
    </w:p>
    <w:p>
      <w:r>
        <w:rPr>
          <w:b/>
        </w:rPr>
        <w:t>E. 6</w:t>
      </w:r>
    </w:p>
    <w:p>
      <w:r>
        <w:t>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c)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rPr>
          <w:b/>
        </w:rPr>
        <w:t>E. 7</w:t>
      </w:r>
    </w:p>
    <w:p>
      <w:r>
        <w:t>En l’occurrence, il est constant que, jusqu’au 31 mai 2016, les rémunérations touchées par B.A________ et B.B.________ de la part de la recourante ont été correctement annoncées à l’intimée en tant que salaire déterminant soumis à cotisations et qu’au 1 er juin 2016, les époux B.________ étaient établis à l’étranger, à [...]. Il est également établi qu’entre le 1 er juin 2016 et le 31 mars 2017, la recourante a payé des honoraires à B.A________ et B.B.________ pour leurs activités , en application du « service agreement » du 17 janvier 2019 conclu entre la recourante et le couple B.________ (cf. extraits du compte 4760 « honoraires » pour l’année 2016 et du compte 4085 « sous-traitance » pour l’année 2017 de la recourante). De même, à compter du 1 er avril 2017, la recourante s’est acquittée d’honoraires en faveur de la société Q.________Limited, conformément au « service agreement » conclu par la recourante et ladite société le 17 janvier 2019 (cf. extraits du compte 4085 « sous-traitance » pour les années 2017 et 2018 de la recourante). Il convient dès lors de distinguer ces deux périodes dans l’analyse du cas d’espèce.</w:t>
      </w:r>
    </w:p>
    <w:p>
      <w:r>
        <w:rPr>
          <w:b/>
        </w:rPr>
        <w:t>E. 8</w:t>
      </w:r>
    </w:p>
    <w:p>
      <w:r>
        <w:t>a) S’agissant de la période du 1 er juin 2016 au 31 mars 2017, il convient, en premier lieu, de déterminer le droit applicable s’agissant de dirigeants – soit les époux B.________ – d’une société ayant son siège en Suisse – à savoir la recourante – dont le domicile se situe à l’étranger. En l’occurrence, [...] – où sont domiciliés B.A________ et B.B.________ – n’est pas partie à l’ALCP, l’AELE ni à une autre convention bilatérale avec la Suisse (cf. ch. 3088 ss et annexe 15 des DAA). Les époux B.________ sont dès lors considérés comme exerçant une activité en Suisse, conformément à la jurisprudence susmentionnées (cf. consid. 4b supra ), et obligatoirement assurés au sens de la LAVS, selon l’art. 1a al. 1 let. b LAVS. b) Il sied, en second lieu, de déterminer si la recourante est parvenue à renverser la présomption selon laquelle les rémunérations versées aux époux B.________ l’avaient été en leur qualité d’organe de la recourante et correspondaient ainsi à un salaire déterminant d’une activité dépendante, en démontrant que les activités déployées constituaient des tâches que le couple B.________ aurait assumées même sans être gérant de la recourante ( cf. consid. 5c supra ). Or, tel n’est pas le cas en l’occurrence. aa) En effet, il ressort du mémo explicatif transmis le 22 janvier 2020 que les époux B.________ souhaitaient transmettre la recourante à leur fils et que cette démarche avait conduit à une certaine répartition des tâches entre le couple B.________ et B.C.________. Les époux B.________ avaient ainsi conservé les « tâches inaliénables des gérants d'une Sàrl en Suisse », notamment la haute direction de la recourante ; le reste des activités de gestion – à savoir les responsabilités courantes et les tâches de gestion quotidienne – était transmis à leur fils. Le mémo ne mentionne pas à partir de quelle période cette répartition des tâches a été mise en œuvre, même si l’on comprend que, dès la constitution de Q.________Limited, à tout le moins, la recourante considère que les activités des époux B.________ étaient réalisées en dehors des activités de gérant de la société, celles-ci étant effectuées ponctuellement et en discussion avec B.C.________. Cette question sera examinée ci-dessous (cf. consid. 9 infra ). Quoi qu’il en soit, l’on peut déduire, au degré de la vraisemblance prépondérante, que la répartition des tâches susmentionnée a été mise en place, à tout le moins, dès le 26 octobre 2015, lorsqu’il a été inscrit au Registre du commerce que B.B.________ était devenu associé gérant président, que B.A________ était restée associée gérante et qu’B.C.________ était devenu directeur, tous bénéficiant d’un droit de signature individuelle. Or, tel était toujours le cas au moment de la reddition de la décision sur opposition litigieuse. De surcroît, pour l’année 2018, le revenu d’B.C.________ – à savoir un salaire brut de 67'192 fr. 40 – était notoirement plus bas que celui perçu par les époux B.________, lequel s’élevait à 30'000 fr. par mois, tel que cela sera discuté ci-dessous (cf. consid. 9 infra ). Ces éléments tendent à démontrer que les époux B.________ ont continué d’assumer leur rôle de gérant jusqu’à la fin de l’année 2018, à tout le moins. bb) Plus important, l’appendice du « service agreement » conclu entre le couple B.________ et la recourante correspond au cahier des charges de B.A________ et B.B.________. S’il est possible de débattre quant à la nature des prestations liées aux relations avec les fournisseurs et à la prospection de nouveaux clients au niveau international – notamment en [...] –, il n’en demeure pas moins que la large majorité des activités confiées au couple B.________ correspond à des tâches inaliénables et inhérentes à la qualité de gérant d’une Sàrl que ledit couple n’aurait pas effectuées en dehors de leur fonction dirigeante. Tel est le cas du coaching des cadres responsables des finances –B.B.________ étant en particulier chargé de les coacher s’agissant du contrôle du budget, de la clôture des comptes et de la gestion des flux financiers, ainsi que des investissements – et des cadres de l’entreprise –B.B.________ examinant les nouvelles structures juridiques permettant l’évolution de la recourante, le développement stratégique et les nouveaux projets de la recourante, ainsi que le recrutement du personnel. B.B.________ est également en charge du soutien et du conseil continu à la direction, ainsi que du conseil et du soutien de la force de vente, à savoir qu’il fournit une vision stratégique pour l’introduction de nouveaux produits sur le marché suisse et sur la politique des prix, qu’il optimise la transmission des informations au sein de la recourante et dans les processus de gestion des commandes. Quant à B.A________, elle est singulièrement chargée de la supervision du marketing, ce qui implique qu’elle fournit son expérience dans le marketing à la direction – notamment quant à l’image de la recourante et à la gestion de la clientèle – et qu’elle gère les outils marketing relatifs à la promotion des produits – en particulier en traduisant, corrigeant et supervisant le matériel de promotion, que celui-ci soit en allemand ou en français. Elle s’occupe également du conseil et du soutien de la force de vente, en soutenant le développement de la recourante en Suisse allemande, en formant le personnel spécialisé dans la vente pour toute la Suisse – particulièrement en fournissant des conseils sur l’introduction de nouveaux produits ainsi que de la documentation et des explications techniques quant auxdits produits –, en contrôlant les résultats des ventes et en monitorant les statistiques de vente – sur lesquelles elle fournit son analyse personnelle. Enfin, elle forme les cadres pour le recrutement et la gestion du personnel et fournit son soutien pour la formation technique continue du personnel quant au marketing et à la connaissance des produits. Au demeurant, le fait que la recourante ait engagé deux nouvelles personnes, à savoir R.________ et L.________, pour seconder B.C.________ dans les activités dont s’occupe le couple B.________ ne change rien au fait que ledit couple a continué d’assumer sa fonction dirigeante. cc) Finalement, plusieurs clauses du « service agreement » conclu entre les époux B.________ et la recourante confirment que ceux-ci ont exercé une activité salariée pour le compte de la recourante. En particulier, ledit contrat prévoit, à son art. 2.1, le versement d’une rémunération conséquente, soit 30'000 fr., dont le paiement était fixe, mensuel et payable dix jours avant la fin du mois, étant relevé que des factures ou des décomptes d’heures n’avaient pas à être présentés. De même, l’art. 2.2 du contrat prescrit que la recourante s’acquitte des coûts raisonnables du couple B.________ dans l’exécution de leur travail. Enfin, l’art. 4.6 du contrat stipule que les époux B.________ ne peuvent déléguer leurs tâches à des tiers sans l’accord écrit de la recourante.</w:t>
      </w:r>
    </w:p>
    <w:p>
      <w:r>
        <w:rPr>
          <w:b/>
        </w:rPr>
        <w:t>E. 9</w:t>
      </w:r>
    </w:p>
    <w:p>
      <w:r>
        <w:t>a) S’agissant de la période du 1 er avril 2017 au 31 décembre 2018, la recourante argue que c’est en violation du principe de la dualité juridique existant entre une société et ses actionnaires que l’autorité intimée a nié l’existence de Q.________Limited et considéré que les honoraires versés à celle-ci par A.________Sàrl représentaient les salaires de B.A________ et B.B.________. Implicitement, la recourante fait ainsi également valoir que les époux B.________ n’étaient pas assurés obligatoirement en Suisse selon la LAVS durant cette période. aa) Depuis le 11 avril 2017, B.A________ et B.B.________ sont les deux seuls administrateurs de la société Q.________Limited, incorporée à [...] en date du 29 mars 2017 (cf. « certificate of incorporation » ; « reports and financial statements for the period from 29 march 2017 (date of incorporation) to 30 june 2018 » ; « reports and financial statements for the year ended 30 june 2019 »). De surcroît, tel que cela ressort du mémo explicatif transmis le 22 janvier 2020, le « service agreement » conclu entre Q.________Limited et la recourante l’avait été « afin de rémunérer Monsieur et Madame B.________ pour leurs activités au profit de la société A.________Sàrl ». A cet égard, il est relevé que tant l’art. 2.1 du « service agreement » conclu par Q.________Limited que l’art. 2.1 du « service agreement » passé par le couple B.________ prévoient une rémunération exactement identique. Tel que cela avait été convenu, du 1 er avril 2017 au 31 décembre 2018, Q.________Limited a effectivement perçu 30'000 fr. par mois de la recourante, tout comme les époux B.________ entre le 1 er juin 2016 et le 31 mars 2017 (cf. extrait du compte 4760 « honoraires » de la recourante concernant l’année 2016 ; extraits du compte 4085 « sous-traitance » de la recourante pour les années 2017 et 2018). Enfin, l’appendice joint au « service agreement » liant Q.________Limited à la recourante est également identique à celui annexé au « service agreement » conclu par le couple B.________ et correspond à un cahier des charges limité strictement aux prestations que devaient fournir B.A________ et B.B.________. Par conséquent, les époux B.________ devaient exécuter les mêmes prestations et avaient les mêmes responsabilités, quel que soit le « service agreement » considéré. Il convient donc d'admettre, au degré de la vraisemblance prépondérante et compte tenu de la règle dite « des premières déclarations », que les rémunérations versées à Q.________Limited par la recourante ont été perçues par les époux B.________, dès le 1 er avril 2017 et ce jusqu’au 31 décembre 2018. bb) Il découle de ce qui précède qu’entre le 1 er avril 2017 et le 31 décembre 2018, B.A________ et B.B.________ ont continué d’exercer une activité lucrative en Suisse et sont ainsi restés obligatoirement assurés au sens de la LAVS, en application de l’art. 1a al. 1 let. b LAVS. En effet, le fait que les honoraires susmentionnés ne leur aient pas été directement versés par la recourante, mais aient été transférés à Q.________Limited, une société établie à l’étranger, n’est pas déterminant s’agissant de l’assujettissement obligatoire de personnes physiques à la LAVS, tel qu’exposé ci-dessus (cf. consid. 4c supra ). Cette constatation ne revient pas à nier la légitimité ou l’existence juridique de Q.________Limited, de sorte que les pièces produites par la recourante en lien avec les bilans de ladite société, les contrats conclus par celle-ci ou les impôts payés par le couple B.________ en rapport avec leurs activités au sein de Q.________Limited ne sont d’aucune utilité à la recourante. b) Par ailleurs, pour les mêmes raisons que celles concernant la période du 1 er juin 2016 au 31 mars 2017 (cf. consid. 8b supra ), la recourante n’est pas parvenue à renverser la présomption selon laquelle les honoraires de B.A________ et B.B.________ correspondaient à un salaire déterminant provenant d’une activité dépendante s’agissant de la période du 1 er avril 2017 au 31 décembre 2018. Tel que déjà constaté, les appendices des deux « service agreement » sont identiques et la rémunération prévue est la même (cf. consid. 9a/aa supra ). De surcroît, le contenu du « service agreement » liant la recourante et le couple B.________ est similaire à celui du « service agreement » conclu par la recourante et Q.________Limited. En effet, l’art. 2.2 du « service agreement » liant Q.________Limited oblige la recourante à prendre en charge les dépenses de ladite société dans l’accomplissement de ses obligations – lesquelles ont été arrêtées à un montant de 32'000 fr. pour la période du 1 er avril au 31 décembre 2017, respectivement à une somme mensuelle fixe de 4'000 fr. par mois dès le 1 er janvier 2018 –, de la même manière que l’art.</w:t>
      </w:r>
    </w:p>
    <w:p>
      <w:r>
        <w:rPr>
          <w:b/>
        </w:rPr>
        <w:t>E. 10</w:t>
      </w:r>
    </w:p>
    <w:p>
      <w:r>
        <w:t>a) Eu égard à ce qui précède, c’est à juste titre que l’intimée a retenu qu’entre le 1 er juin 2016 et le 31 décembre 2018, les rémunérations perçues par B.A________ et B.B.________ constituaient un salaire déterminant provenant d’une activité dépendante, soumises à cotisations sociales. b) Au demeurant, les salaires tels que rapportés par l’intimée étant établis par pièces, sans être contestés, il y a lieu de confirmer la quotité du montant réclamé à titre de cotisations sociales.</w:t>
      </w:r>
    </w:p>
    <w:p>
      <w:r>
        <w:rPr>
          <w:b/>
        </w:rPr>
        <w:t>E. 11</w:t>
      </w:r>
    </w:p>
    <w:p>
      <w:r>
        <w:t>a) En définitive, le recours est rejeté et, partant, la décision sur opposition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