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2022 / 431 vom 7. Juni 2022</w:t>
      </w:r>
    </w:p>
    <w:p>
      <w:r>
        <w:t>VD Tribunal cantonal, 2022-06-07, FR</w:t>
      </w:r>
    </w:p>
    <w:p>
      <w:r>
        <w:rPr>
          <w:b/>
        </w:rPr>
        <w:t xml:space="preserve">Quelle: </w:t>
      </w:r>
      <w:r>
        <w:t>https://mcp.opencaselaw.ch/entscheid/vd_findinfo_Arr_t___2022___431</w:t>
      </w:r>
    </w:p>
    <w:p>
      <w:r>
        <w:t>FR: VD_FINDINFO Arrêt / 2022 / 431 du 7 juin 2022</w:t>
      </w:r>
    </w:p>
    <w:p>
      <w:r>
        <w:t>IT: VD_FINDINFO Arrêt / 2022 / 431 del 7 giugno 2022</w:t>
      </w:r>
    </w:p>
    <w:p>
      <w:pPr>
        <w:pStyle w:val="Heading2"/>
      </w:pPr>
      <w:r>
        <w:t>Regeste</w:t>
      </w:r>
    </w:p>
    <w:p>
      <w:r>
        <w:t>APPEL EN CAUSE, INFIRMITÉ CONGÉNITALE, SYNDROME PSYCHIQUE, QUALITÉ POUR RECOURIR, ADMISSION DE LA DEMANDE, DÉCISION DE RENVOI | 13 LAI, 3 al. 2 LPGA, 43 al. 1 LPGA, 59 LPGA, 70 al. 2 let. a LPGA, 14 LPA-VD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définitive, le recours doit être admis et la décision attaquée annulée, la cause étant renvoyée à l’intimé pour instruction complémentaire au sens des considérants puis nouvelle décision.</w:t>
      </w:r>
    </w:p>
    <w:p>
      <w:r>
        <w:rPr>
          <w:b/>
        </w:rPr>
        <w:t>E. 8</w:t>
      </w:r>
    </w:p>
    <w:p>
      <w:r>
        <w:t>a) La procédure de recours en matière de contestations portant sur l’octroi ou le refus de prestations de l’assurance-invalidité est soumise à des frais de justice (art. 69 al. 1bis LAI). Il convient de les fixer à 600 fr. et de les mettre à la charge de la partie intimée, vu l’issue du litige. b) Il n’y a pas lieu d’allouer de dépens à la recourante, dès lors qu’elle est une institution chargée de tâches publiques (art. 61 let. g LPGA et 55 LPA-VD ; ATF 128 V 124 consid. 5b).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