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386 vom 27. Mai 2022</w:t>
      </w:r>
    </w:p>
    <w:p>
      <w:r>
        <w:t>VD Tribunal cantonal, 2022-05-27, FR</w:t>
      </w:r>
    </w:p>
    <w:p>
      <w:r>
        <w:rPr>
          <w:b/>
        </w:rPr>
        <w:t xml:space="preserve">Quelle: </w:t>
      </w:r>
      <w:r>
        <w:t>https://mcp.opencaselaw.ch/entscheid/vd_findinfo_Arr_t___2022___386</w:t>
      </w:r>
    </w:p>
    <w:p>
      <w:r>
        <w:t>FR: VD_FINDINFO Arrêt / 2022 / 386 du 27 mai 2022</w:t>
      </w:r>
    </w:p>
    <w:p>
      <w:r>
        <w:t>IT: VD_FINDINFO Arrêt / 2022 / 386 del 27 maggio 2022</w:t>
      </w:r>
    </w:p>
    <w:p>
      <w:pPr>
        <w:pStyle w:val="Heading2"/>
      </w:pPr>
      <w:r>
        <w:t>Regeste</w:t>
      </w:r>
    </w:p>
    <w:p>
      <w:r>
        <w:t>ALLOCATION POUR IMPOTENT, DÉCLARATION{EN GÉNÉRAL}, DÉPART D'UN PAYS, DOMICILE, CONDITION{PRÉSUPPOSITION}, RÉSIDENCE HABITUELLE, REJET DE LA DEMANDE, SUPPRESSION DE LA PRESTATION D'ASSURANCE | 43bis LAVS, 13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le 1 er janvier 2022 dans le cadre du « développement continu de l'AI »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 août 2021, de sorte que c’est à ce dernier qu’il est fait référence au sein du présent arrêt (ATF 144 V 210 consid. 4.3.1 ; 138 V 176 consid. 7.1 ; TF 9C_881/2018 du 6 mars 2019 consid. 4.1).</w:t>
      </w:r>
    </w:p>
    <w:p>
      <w:r>
        <w:rPr>
          <w:b/>
        </w:rPr>
        <w:t>E. 2</w:t>
      </w:r>
    </w:p>
    <w:p>
      <w:r>
        <w:t>Le litige porte sur le bien-fondé de la suppression du droit du recourant à une allocation pour impotent de l'assurance-vieillesse et survivants.</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 loi fédérale sur l’assurance-invalidité du 19 juin 1959 ; RS 831.20) , les assurés impotents qui ont leur domicile et leur résidence habituelle (art. 13 LPGA) en Suisse ont droit à une allocation pour impotent. Une telle allocation est octroyée au plus tôt à la naissance et au plus tard à la fin du mois au cours duquel l’assuré a fait usage de son droit de percevoir une rente anticipée, conformément à l’art. 40 al. 1 LAVS, ou du mois au cours duquel il a atteint l’âge de la retraite (art. 42 al. 4 LAI). b) L’art. 43bis LAVS règle l’allocation pour impotent dans le régime de la LAVS. Selon cette disposition, la personne qui était au bénéfice d’une allocation pour impotent de l’assurance-invalidité à la fin du mois au cours duquel elle a atteint l’âge de la retraite ou a fait usage du droit de percevoir une rente anticipée touche une allocation de l’assurance-vieillesse au moins égale. Les conditions cumulatives du domicile et de la résidence habituelle en Suisse au sens de l’art. 13 LPGA, ainsi que de l’impotence sont retranscrites à l’alinéa premier de la disposition. L’évaluation de l’impotence s’effectue par application analogique de la LAI (al. 5). Le droit à l’allocation pour impotent s’éteint au terme du mois durant lequel les conditions énoncées ne sont plus remplies (al. 2). c) La notion de domicile au sens de l’art. 13 al. 1 LPGA correspond au domicile civil selon les art. 23 à 26 CC (code civil suisse du 10 décembre 1907 ; RS 210). Conformément à l’art. 13 al. 2 LPGA, la résidence habituelle correspond au lieu où la personne concernée séjourne un certain temps même si la durée de ce séjour est d'emblée limitée (ATF 141 V 530 consid. 5.1 et les références citées).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Par résidence habituelle au sens de l’art. 13 al. 2 LPGA, il convient de comprendre la résidence effective en Suisse et la volonté de conserver cette résidence ; le centre de toutes les relations de l’intéressé doit en outre se situer en Suisse (ATF 141 V 530 consid. 5.3 ;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4</w:t>
      </w:r>
    </w:p>
    <w:p>
      <w:r>
        <w:t>a) En l’espèce, le recourant a atteint l’âge ordinaire de la retraite alors qu’il percevait une allocation pour impotent de l’assurance-invalidité, de sorte que le régime de la LAVS lui est applicable, ce qui n’est pas contesté. Dans le cadre de la présente cause, est litigieuse la réalisation de la condition personnelle du domicile et de la résidence habituelle en Suisse au sens des art. 43bis al. 1 LAVS et 13 LPGA. b) Le recourant considère qu’il est toujours domicilié et en résidence habituelle en Suisse car il y revient fréquemment et conserve une adresse postale chez ses enfants majeurs. À cet égard, la Cour relève que les déclarations du recourant ont passablement fluctué au gré de la procédure administrative puis judiciaire. Il a en effet dans un premier temps affirmé revenir quatre fois par an sans indiquer de durée (cf. courrier du 11 mars 2021), avant d’indiquer qu’il rentrait chaque deux mois environ (cf. opposition indexée le 5 mai 2021), puis qu’il passait plus de huit mois par an en Suisse (cf. courriel du 31 août 2021 et acte de recours du 13 septembre 2021). Les enfants du recourant ont pour leur part déclaré qu’il rentrait quatre fois par année « durée 1 mois », ce qui ne corrobore en tout cas pas ses dernières versions des faits. Il sied au demeurant d’accorder moins de crédit à ces dernières, en vertu de la règle des « premières déclarations ». Le recourant n’a produit aucune pièce à l’appui de ses différentes affirmations. Il n’a apporté aucun élément concret permettant d’établir que le centre de ses intérêts serait demeuré à Y.________ après le 30 juin 2020. Or compte tenu du devoir de collaborer des parties, il était tenu d’apporter, dans une mesure raisonnablement exigible, les preuves commandées par la nature du litige et des faits invoqués (corollaire au principe inquisitoire ; art. 43 al. 1 LPGA ; TF 9C_91/2017 consid. 3.1). Sur le plan objectif, seule demeure la déclaration de départ du recourant, sans date de retour prévue ou même alléguée, qui a été enregistrée dans le registre cantonal des personnes au 1 er juillet 2020. Le recourant a certes gardé une adresse de courrier à Y.________, et il soutient qu’il s’acquitte de factures et de ses impôts en Suisse. Cela n’est toutefois pas suffisant pour établir sa volonté de faire de la Suisse le centre de ses relations personnelles, ce d’autant moins que ses enfants sont majeurs et que son épouse a annoncé son départ du pays avec lui. Le recourant a du reste toujours précisé que ses retours en Suisse avaient lieu pour régler des factures, pour les « papiers administratifs », ce que ses enfants ont confirmé (« ils viennent 4x par année durée 1 mois pour régler courrier et factures »). D’un point de vue objectif et quoi qu’il en dise, on ne saurait y voir la manifestation, reconnaissable pour les tiers, de sa volonté de garder le centre de ses intérêts personnels et sociaux en Suisse. Quant à la résidence habituelle, elle est en principe annulée en cas de départ à l’étranger, comme rappelé ci-avant. La décision litigieuse datant d’une année après le départ du recourant, il est évident que l’exception du séjour temporaire à l’étranger n’est pas applicable. Compte tenu des éléments au dossier et des développements qui précèdent, il n’est pas établi au stade de la vraisemblance prépondérante que le recourant ait résidé effectivement en Suisse, ni qu’il ait eu la volonté de conserver cette résidence, durant la période déterminante. c) Partant, l’intimée était fondée à supprimer l’allocation pour impotent du recourant, car les conditions d’octroi n’en étaient plus réunies. À cet égard, il sied encore de relever que l’intimée était en droit de supprimer ladite allocation dès le mois suivant le départ du recourant, soit dès le mois d’août 2020, car ce mois marquait celui durant lequel les conditions d’octroi n’étaient plus remplies (art. 43bis al. 2 LAVS). Par ailleurs, il était tenu de communiquer tout changement dans sa situation personnelle à la Caisse, conformément à l’art. 31 al. 2 LPGA, notamment un séjour à l’étranger de plus de trois mois. Il avait d’ailleurs été dûment informé de cette obligation par les décisions successives qu’il avait reçues concernant son allocation pour impotent (notamment les 24 septembre 2012, 17 novembre 2015, 10 janvier 2017 et 4 septembre 2019). Or, le recourant n’a informé la Caisse de son départ en voyages qu’en mars 2021, alors que ledit départ était prévu déjà en juin 2020 à tout le moins, selon les échanges qu’il a eus avec le contrôle des habitants, et qu’il était effectivement parti en juillet 2020. Quoi qu’il en soit, au stade de la présente procédure, une reformatio in pejus n’apparaît pas opportune dans le cas particulier (voir sur le sujet Jean Métral, in Dupont/Moser-Szeless [édit.], Commentaire romand, Loi sur la partie générale des assurances sociales, Bâle 2018, n° 77 ad art. 61 LPGA).</w:t>
      </w:r>
    </w:p>
    <w:p>
      <w:r>
        <w:rPr>
          <w:b/>
        </w:rPr>
        <w:t>E. 5</w:t>
      </w:r>
    </w:p>
    <w:p>
      <w:r>
        <w:t>a) Sur le vu de ce qui précède, le recours doit être rejeté et la décision sur opposition litigieuse confirmée. b) Il n’y a pas lieu de percevoir de frais judiciaires (art. 61 let. f bis LPGA), ni d’allouer de dépens à la partie recourante, qui n’obtient pas gain de cause et a de toute façon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