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276 vom 7. April 2022</w:t>
      </w:r>
    </w:p>
    <w:p>
      <w:r>
        <w:t>VD Tribunal cantonal, 2022-04-07, FR</w:t>
      </w:r>
    </w:p>
    <w:p>
      <w:r>
        <w:rPr>
          <w:b/>
        </w:rPr>
        <w:t xml:space="preserve">Quelle: </w:t>
      </w:r>
      <w:r>
        <w:t>https://mcp.opencaselaw.ch/entscheid/vd_findinfo_Arr_t___2022___276</w:t>
      </w:r>
    </w:p>
    <w:p>
      <w:r>
        <w:t>FR: VD_FINDINFO Arrêt / 2022 / 276 du 7 avril 2022</w:t>
      </w:r>
    </w:p>
    <w:p>
      <w:r>
        <w:t>IT: VD_FINDINFO Arrêt / 2022 / 276 del 7 aprile 2022</w:t>
      </w:r>
    </w:p>
    <w:p>
      <w:pPr>
        <w:pStyle w:val="Heading2"/>
      </w:pPr>
      <w:r>
        <w:t>Regeste</w:t>
      </w:r>
    </w:p>
    <w:p>
      <w:r>
        <w:t>ADMISSION DE LA DEMANDE, ADMISSION PARTIELLE, RECHERCHE D'EMPLOI, INOBSERVATION DE PRESCRIPTIONS DE CONTRÔLE, SUSPENSION DU DROIT À L'INDEMNITÉ, RÉDUCTION{EN GÉNÉRAL}, DROIT D'ÊTRE ENTENDU | 29 al. 2 Cst., 17 al. 1 LACI, 30 al. 1 let. c LACI, 26 al. 2 OACI</w:t>
      </w:r>
    </w:p>
    <w:p>
      <w:pPr>
        <w:pStyle w:val="Heading2"/>
      </w:pPr>
      <w:r>
        <w:t>Erwägungen</w:t>
      </w:r>
    </w:p>
    <w:p>
      <w:r>
        <w:rPr>
          <w:b/>
        </w:rPr>
        <w:t>E. 7</w:t>
      </w:r>
    </w:p>
    <w:p>
      <w:r>
        <w:t>a) En définitive, le recours est partiellement admis, dans la mesure où il est recevable. b) La décision sur opposition rendue le 9 février 2021 par le SDE sanctionnant l’absence de recherches d’emploi entre le 13 juillet et le 31 août 2020 doit être confirmée ; la décision sur opposition rendue le 9 février 2021 par le SDE sanctionnant l’absence de recherches d’emploi au cours du mois de septembre 2020 doit être réformée, en ce sens que la durée de la suspension est réduite à cinq jours ; quant à la décision sur opposition rendue le 9 février 2021 par le SDE sanctionnant l’absence de recherches d’emploi au cours du mois d’octobre 2020, elle doit être réformée, en ce sens que la durée de la suspension est réduite à cinq jours.</w:t>
      </w:r>
    </w:p>
    <w:p>
      <w:r>
        <w:rPr>
          <w:b/>
        </w:rPr>
        <w:t>E. 8</w:t>
      </w:r>
    </w:p>
    <w:p>
      <w:r>
        <w:t>Il n’y a pas lieu de percevoir de frais judiciaires (art. 61 let. f bis LPGA), ni d’allouer de dépens, la partie recourante ayant procédé sans mandataire qualifié (ATF 127 V 205 consid. 4b). Par ces motifs, le juge unique prononce : I. Le recours est partiellement admis dans la mesure où il est recevable. II. La décision sur opposition rendue le 9 février 2021 par le Service de l’emploi, Instance juridique chômage, sanctionnant l’absence de recherches d’emploi entre le 13 juillet et le 31 août 2020 est confirmée. III. La décision sur opposition rendue le 9 février 2021 par le Service de l’emploi, Instance juridique chômage, sanctionnant l’absence de recherches d’emploi au cours du mois de septembre 2020 est réformée, en ce sens que la durée de la suspension est réduite à cinq jours. IV. La décision sur opposition rendue le 9 février 2021 par le Service de l’emploi, Instance juridique chômage, sanctionnant l’absence de recherches d’emploi au cours du mois d’octobre 2020 est réformée, en ce sens que la durée de la suspension est réduite à cinq jours. V. Il n’est pas perçu de frais judiciaires ni alloué de dépens. Le juge unique :               Le greffier : Du L'arrêt qui précède est notifié à : ‑ M.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