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1070 vom 12. September 2022</w:t>
      </w:r>
    </w:p>
    <w:p>
      <w:r>
        <w:t>VD Tribunal cantonal, 2022-09-12, FR</w:t>
      </w:r>
    </w:p>
    <w:p>
      <w:r>
        <w:rPr>
          <w:b/>
        </w:rPr>
        <w:t xml:space="preserve">Quelle: </w:t>
      </w:r>
      <w:r>
        <w:t>https://mcp.opencaselaw.ch/entscheid/vd_findinfo_Arr_t___2022___1070</w:t>
      </w:r>
    </w:p>
    <w:p>
      <w:r>
        <w:t>FR: VD_FINDINFO Arrêt / 2022 / 1070 du 12 septembre 2022</w:t>
      </w:r>
    </w:p>
    <w:p>
      <w:r>
        <w:t>IT: VD_FINDINFO Arrêt / 2022 / 1070 del 12 settembre 2022</w:t>
      </w:r>
    </w:p>
    <w:p>
      <w:pPr>
        <w:pStyle w:val="Heading2"/>
      </w:pPr>
      <w:r>
        <w:t>Regeste</w:t>
      </w:r>
    </w:p>
    <w:p>
      <w:r>
        <w:t>REPRÉSENTATION, ENFANT, CONFLIT D'INTÉRÊTS | 306 al. 2 CC</w:t>
      </w:r>
    </w:p>
    <w:p>
      <w:pPr>
        <w:pStyle w:val="Heading2"/>
      </w:pPr>
      <w:r>
        <w:t>Erwägungen</w:t>
      </w:r>
    </w:p>
    <w:p>
      <w:r>
        <w:rPr>
          <w:b/>
        </w:rPr>
        <w:t>E. 1</w:t>
      </w:r>
    </w:p>
    <w:p>
      <w:r>
        <w:t>Le recours est dirigé contre une décision de l’autorité de protection de l’enfant instituant une curatelle de représentation de mineur à forme de l’art. 306 al. 2 CC en faveur du fils du recourant.</w:t>
      </w:r>
    </w:p>
    <w:p>
      <w:r>
        <w:rPr>
          <w:b/>
        </w:rPr>
        <w:t>E. 1.1.1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10 octobre 2022/169).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1.1.2</w:t>
      </w:r>
    </w:p>
    <w:p>
      <w:r>
        <w:t>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 Droese, Basler Kommentar, Zivilgesetzbuch I, Art. 1-456 ZGB, 7 e éd., Bâle 2022, n. 7 ad art. 450a CC, p. 2943, et les auteurs cités ; TF 5C_1/2018 du 8 mars 2019 consid. 5.1 et les références citées ).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père de l’enfant concerné, le recours est recevable. Il en va de même des pièces produites en deuxième instance, si tant est qu'elles ne figurent pas au dossier. Le recours étant manifestement mal fondé, au vu des considérations qui seront développées ci-après, il a été renoncé à consulter l'autorité de protection. La curatrice n’a pas non plus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de l'enfant découle de ses droits de la personnalité et sert à l'établissement des faits (ATF 146 III 203 consid. 3.3.2).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(ATF 146 III 203 précité consid. 3.3.2 ; ATF 131 III 553 consid. 1.1 ; TF 5A_92/2020 du 25 août 2020 consid. 3 in Revue de la protection des mineurs et des adultes [RMA] 2021/I p. 4). Outre le très jeune âge, les autres « justes motifs » qui permettent de renoncer à l’audition de l’enfant relèvent du pouvoir d’appréciation du juge et dépendent des circonstances du cas concret. L'autorité compétente peut éventuellement renoncer à l’audition de l’enfant notamment lorsque cette mesure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alors être obligé de procéder à une audition qui, dénuée de toute valeur probante, s'apparenterait à une pure démarche formelle et serait totalement inutile (ATF 146 III 203 précité consid. 3.3.2 et les références citées).</w:t>
      </w:r>
    </w:p>
    <w:p>
      <w:r>
        <w:rPr>
          <w:b/>
        </w:rPr>
        <w:t>E. 2.3</w:t>
      </w:r>
    </w:p>
    <w:p>
      <w:r>
        <w:t>En l’espèce, le recourant reproche à l'autorité de protection de l'enfant de ne pas avoir entendu X.C.________, qui entre dans sa 17 e année. Or l'audition de l’adolescent n’est absolument pas nécessaire dans le cadre de l'instruction, dès lors que sa capacité de se déterminer par rapport à la succession de sa mère ou sa volonté d'être représenté par son père dans ce contexte est sans incidence sur la décision à intervenir, compte tenu de l’existence d’un conflit d’intérêts abstrait (cf. consid. 3.3 infra ). S'agissant du respect de ses droits de la personnalité, il apparaît surtout important que la décision judiciaire puisse lui être expliquée, ce qui sera du ressort de la curatrice qui a été désignée, laquelle dispose des compétences professionnelles à cette fin. Par ailleurs, le recourant relève que la juge de paix n'aurait pas donné suite à sa demande du 28 août 2022 d'être désigné comme représentant de son fils dans le cadre de la succession de feue W.C.________. Il s'avère cependant que la juge de paix l’a invité, par courrier du 3 juin 2022, à proposer une personne en qualité de curateur et que le recourant n'a pas procédé dans le délai imparti, mais l'a fait hors délai. Il ne saurait ainsi se plaindre d'un quelconque défaut de réponse de la part de l'autorité intimée à ce sujet, étant au demeurant relevé que la décision attaquée expose les raisons pour lesquelles il a été décidé de nommer une curatrice ad hoc à X.C.________. La décision entreprise est donc formellement correcte et peut être examinée sur le fond.</w:t>
      </w:r>
    </w:p>
    <w:p>
      <w:r>
        <w:rPr>
          <w:b/>
        </w:rPr>
        <w:t>E. 3.1</w:t>
      </w:r>
    </w:p>
    <w:p>
      <w:r>
        <w:t>Le recourant conteste l'existence d'un conflit d'intérêts. Il met en avant que les intérêts de ses enfants ont toujours été au centre de ses préoccupations, que sa famille est soudée, que ses deux filles majeures soutiennent sa démarche et qu'il a expressément demandé à pouvoir représenter son fils mineur dans le cadre de la succession de W.C.________.</w:t>
      </w:r>
    </w:p>
    <w:p>
      <w:r>
        <w:rPr>
          <w:b/>
        </w:rPr>
        <w:t>E. 3.2</w:t>
      </w:r>
    </w:p>
    <w:p>
      <w:r>
        <w:t>L'art. 306 al. 2 CC prévoit que si les père et mère sont empêchés d'agir ou si, dans une affaire, leurs intérêts entrent en conflit avec ceux de l'enfant, l'autorité de protection de l'enfant nomme un curateur ou prend elle-même les mesures nécessaires.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 Choffat, Panorama sur les curatelles de protection du mineur et les mesures de protection moins incisives, in Revue de l’avocat 2017, p. 411, spéc. 419 ; Meier/Stettler, Droit de la filiation,</w:t>
      </w:r>
    </w:p>
    <w:p>
      <w:r>
        <w:rPr>
          <w:b/>
        </w:rPr>
        <w:t>E. 3.3</w:t>
      </w:r>
    </w:p>
    <w:p>
      <w:r>
        <w:t>En l’espèce, le recourant est héritier, comme son fils, dans la succession de feue W.C.________, ce qui n'est pas contesté. Il est également l'unique représentant de l'enfant concerné. Il a donc des intérêts propres dans l’affaire, ce qui suffit à admettre la présence d’un conflit d’intérêts. Même si le recourant se prévaut d'une bonne cohésion familiale et du fait qu'il aurait concrètement toujours agi dans l'intérêt de ses enfants, force est toutefois de considérer que, dans l’abstrait, les intérêts du représentant légal et de l’enfant sont opposés, dès lors que, par exemple, la répudiation de la succession par l'un des héritiers a pour conséquence l'augmentation de la part de l'autre. En d’autres termes, en présence d'intérêts qui ne sont pas parallèles mais opposés, il n'y a pas de place pour une représentation de l'enfant par le seul détenteur de l'autorité parentale, les pouvoirs de représentation prenant d'ailleurs fin de plein droit en raison du conflit. Il résulte de ce qui précède que c’est à bon droit que l'autorité de protection de l'enfant a désigné une curatrice à X.C.________ pour le représenter dans le cadre de la succession de sa mère, de sorte que cette mesure de protection doit être confirmée. Il est précisé que les bonnes compétences parentales du recourant et son souci de préserver au mieux les intérêts des enfants ne sont ici nullement en cause. 4. En conclusion, le recours doit être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Z.C.________. IV. L'arrêt est exécutoire. La présidente :              La greffière : Du L'arrêt qui précède, dont la rédaction a été approuvée à huis clos, est notifié à : ‑ M. Z.C.________, ‑ Me X.________, curatrice de représentation de l’enfant concerné,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e éd., Bâle 2019, n. 1225, pp. 807-808). L’existence d’un conflit d’intérêts se détermine par conséquent de manière abstraite et non concrète (ATF 118 II 101 ; ATF 107 II 105 ; ATF 68 II 342 s'agissant d'un partage successoral entre l'enfant et son père).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in Commentaire du droit de la famille [CommFam], Protection de l’adulte, Berne 2013, n. 27 ad art. 365 CC). En particulier l'institution d'une curatelle est nécessaire lorsque les intérêts du détenteur de l'autorité parentale ne sont pas parallèles avec ceux des enfants (ATF 118 II 101 consid. 4, JdT 1995 I 103 consid. 4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de la représentation d'un enfant dans une procédure pénale contre un de ses parents (Steinauer/Fountoulakis, op. cit., n. 1241 p. 550). L'existence d'un conflit d'intérêts entraîne l'extinction du pouvoir de représentation du parent (art. 306 al. 3 CC ; Meier/Stettler, Droit de la filiation, op. cit., n. 538, p. 369 et n. 1228 p. 809-810). Le curateur se substitue au représentant légal et agit en ses lieu et place, son rôle étant limité aux affaires pour lesquelles il existe un empêchement ou un conflit d'intérêts.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