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1032 vom 31. Januar 2023</w:t>
      </w:r>
    </w:p>
    <w:p>
      <w:r>
        <w:t>VD Tribunal cantonal, 2023-01-31, FR</w:t>
      </w:r>
    </w:p>
    <w:p>
      <w:r>
        <w:rPr>
          <w:b/>
        </w:rPr>
        <w:t xml:space="preserve">Quelle: </w:t>
      </w:r>
      <w:r>
        <w:t>https://mcp.opencaselaw.ch/entscheid/vd_findinfo_Arr_t___2022___1032</w:t>
      </w:r>
    </w:p>
    <w:p>
      <w:r>
        <w:t>FR: VD_FINDINFO Arrêt / 2022 / 1032 du 31 janvier 2023</w:t>
      </w:r>
    </w:p>
    <w:p>
      <w:r>
        <w:t>IT: VD_FINDINFO Arrêt / 2022 / 1032 del 31 gennaio 2023</w:t>
      </w:r>
    </w:p>
    <w:p>
      <w:pPr>
        <w:pStyle w:val="Heading2"/>
      </w:pPr>
      <w:r>
        <w:t>Regeste</w:t>
      </w:r>
    </w:p>
    <w:p>
      <w:r>
        <w:t>ATTEINTE À LA SANTÉ PSYCHIQUE, FORCE PROBANTE, ÉVALUATION DE L'ATTEINTE À LA SANTÉ, ATTEINTE À LA SANTÉ PHYSIQUE | 28 al. 1 LAI, 4 al. 1 LAI, 6 LPGA, 7 LPGA, 8 LPGA</w:t>
      </w:r>
    </w:p>
    <w:p>
      <w:pPr>
        <w:pStyle w:val="Heading2"/>
      </w:pPr>
      <w:r>
        <w:t>Erwägungen</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Il s’impose donc de renvoyer la cause à l’intimé pour qu’il complète le dossier conformément auxdits considérants. Après actualisation des renseignements médicaux, il appartiendra à l’OAI de mettre en œuvre une expertise bidisciplinaire rhumatologique et psychiatrique, à tout le moins. Il convient par conséquent de renvoyer la cause à cette autorité, dès lors que c’est à elle qu’il incombe en premier lieu d’instruire, conformément au principe inquisitoire qui régit la procédure dans le domaine des assurances sociales (art. 43 al. 1 LPGA).</w:t>
      </w:r>
    </w:p>
    <w:p>
      <w:r>
        <w:rPr>
          <w:b/>
        </w:rPr>
        <w:t>E. 10</w:t>
      </w:r>
    </w:p>
    <w:p>
      <w:r>
        <w:t>Au stade de la réplique, le recourant a requis la tenue d’une audience publique . L'obligation d'organiser des débats publics au sens de l'art. 6 par. 1 CEDH, qui implique le droit pour le justiciable de plaider sa cause lui-même ou par l'intermédiaire de son avocat (TF 5A_1062/2019 du 16 avril 2020 consid. 4.2 et les références),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(TF 9C_335/2021 du 9 février 2022 consid. 3.1 ; ATF 136 I 279 consid. 1 et les arrêts cités). En l'espèce, le recourant n'a pas invoqué l'art. 6 par. 1 CEDH dans le cadre de son recours et n'a pas non plus fait référence à la jurisprudence y relative. A l'appui de sa « requête d'une audience publique » déposée conjointement avec la réplique, il s'est limité à demander à être interrogé « par rapport aux limitations insupportables qu’il subit et [à ce que la Cour inspecte] ses limitations criantes ». Or, si l'art. 6 par. 1 CEDH garantit certes à chacun le droit à ce que sa cause soit entendue publiquement (TF 8C_964/2012 du 16 septembre 2013 consid. 3.2), une demande formulée de manière claire et indiscutable fait défaut. On constate en effet que la requête formulée par le recourant - assisté d'un mandataire professionnel - constitue une simple demande tendant à la comparution ou à une interrogation personnelle. Elle vise à ce que la Cour de céans l'entende et se rende compte de l'importance de ses limitations, soit un aspect relatif à l'administration des preuves. Dans ces circonstances, la requête de preuve déposée dans le cadre de la procédure de recours ne suffit pas pour fonder l'obligation pour la Cour de céans d'organiser des débats publics au sens de l'art. 6 CEDH. Il n’y a donc pas lieu de donner suite à cette requête. De surcroît, cette mesure apparaîtrait superflue compte tenu de l’issue du recours.</w:t>
      </w:r>
    </w:p>
    <w:p>
      <w:r>
        <w:rPr>
          <w:b/>
        </w:rPr>
        <w:t>E. 11</w:t>
      </w:r>
    </w:p>
    <w:p>
      <w:r>
        <w:t>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La partie recourante obtient gain de cause et a droit à une indemnité de dépens à titre de participation aux honoraires de son conseil (art. 61 let. g LPGA). Compte tenu de l’importance et de la complexité du litige, il convient d’arrêter l’indemnité à 1'500 fr., débours et TVA compris, et de la mettre intégralement à la charge de l’intimé (art. 10 et 11 TFJDA [tarif du 28 avril 2015 des frais judiciaires et des dépens en matière administrative ; BLV 173.36.5.1]). La partie recourante est au bénéfice de l’assistance judiciaire (cf. décision du 12 avril 2022).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