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103 vom 15. März 2022</w:t>
      </w:r>
    </w:p>
    <w:p>
      <w:r>
        <w:t>VD Tribunal cantonal, 2022-03-15, FR</w:t>
      </w:r>
    </w:p>
    <w:p>
      <w:r>
        <w:rPr>
          <w:b/>
        </w:rPr>
        <w:t xml:space="preserve">Quelle: </w:t>
      </w:r>
      <w:r>
        <w:t>https://mcp.opencaselaw.ch/entscheid/vd_findinfo_Arr_t___2022___103</w:t>
      </w:r>
    </w:p>
    <w:p>
      <w:r>
        <w:t>FR: VD_FINDINFO Arrêt / 2022 / 103 du 15 mars 2022</w:t>
      </w:r>
    </w:p>
    <w:p>
      <w:r>
        <w:t>IT: VD_FINDINFO Arrêt / 2022 / 103 del 15 marzo 2022</w:t>
      </w:r>
    </w:p>
    <w:p>
      <w:pPr>
        <w:pStyle w:val="Heading2"/>
      </w:pPr>
      <w:r>
        <w:t>Regeste</w:t>
      </w:r>
    </w:p>
    <w:p>
      <w:r>
        <w:t>REJET DE LA DEMANDE, REVENU D'INVALIDE, REVENU SANS INVALIDITÉ, ATTEINTE À LA SANTÉ PSYCHIQUE, LIEN DE CAUSALITÉ, INDEMNITÉ POUR ATTEINTE À L'INTÉGRITÉ | 18 LAA, 24 LAA, 6 LAA, 16 LPGA</w:t>
      </w:r>
    </w:p>
    <w:p>
      <w:pPr>
        <w:pStyle w:val="Heading2"/>
      </w:pPr>
      <w:r>
        <w:t>Erwägungen</w:t>
      </w:r>
    </w:p>
    <w:p>
      <w:r>
        <w:rPr>
          <w:b/>
        </w:rPr>
        <w:t>E. 8</w:t>
      </w:r>
    </w:p>
    <w:p>
      <w:r>
        <w:t>Le recourant reproche enfin à l’intimée d’avoir retenu un taux d’indemnité pour atteinte à l’intégrité insuffisant.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b) La CNA a fixé l’indemnité pour atteinte à l’intégrité à 15 % sur la base de l’appréciation du 22 avril 2020 du Dr G.________. Dans cette appréciation, ce médecin s’est référé à la table 5 du barème établi par la CNA relatif aux atteintes à l’intégrité résultant d’arthrose. Rappelant la fracture dont a souffert l’assuré lors de son accident, le Dr G.________ a relevé la présence d’un cal vicieux au niveau de la malléole interne lors de la consolidation de la fracture, couplée au développement d’une arthrose tibio-talienne symptomatique, ne nécessitant actuellement pas une arthrodèse et pour laquelle la correction de la malposition résiduelle était alors contre-indiquée. L’exigibilité dans une activité lourde n’était plus donnée. Il a également pris en compte la présence d’une lésion de la branche latérale du nerf péronier superficiel qui était sensible à la palpation et qui empêchait le port de chaussures rigides à coques talonnières. Le Dr G.________ a ainsi arrêté le taux d’atteinte à l’intégrité à 15 %, considérant que le recourant souffrait d’une arthrose tibio-tarsienne par analogie à une arthrodèse. Ce taux tenait également compte du fait qu’une telle intervention serait nécessaire à moyen terme. Le recourant reproche à la CNA de ne pas avoir pris en compte l’atteinte à son doigt ainsi que l’atteinte neurologique dont il souffre. Ce faisant, il se contente de remettre en cause l’appréciation du Dr G.________ en lui opposant sa propre appréciation de la situation, sans l’étayer au moyen d’un avis médical. Cela ne saurait suffire. En effet, comme l’a relevé la CNA au stade de la réponse, l’atteinte au majeur droit dont souffre l’assuré ne peut être indemnisée, dès lors qu’il peut faire usage de sa main droite, respectivement de ses autres doigts. Le recourant se méprend également lorsqu’il allègue que l’atteinte neurologique n’a pas été prise en considération par la CNA, le Dr G.________ l’ayant explicitement relevée et retenue dans son appréciation du 22 avril 2020. Enfin, il n’y a pas lieu d’allouer une indemnité pour atteinte en cas de troubles psychiques, à défaut de tout lien de causalité entre l’accident de l’assuré et les troubles dont il souffrirait aujourd’hui. L’appréciation du Dr G.________ peut donc être confirmée.</w:t>
      </w:r>
    </w:p>
    <w:p>
      <w:r>
        <w:rPr>
          <w:b/>
        </w:rPr>
        <w:t>E. 9</w:t>
      </w:r>
    </w:p>
    <w:p>
      <w:r>
        <w:t>Le dossier est complet. Il permet ainsi à la Cour de céans de statuer en pleine connaissance de cause. Il n’y a pas lieu de donner suite aux mesures d’instruction requises par le recourant, à savoir de procéder à son audition ainsi qu’à celle d’éventuels témoins ou encore de mettre en œuvre une nouvelle expertise. En effet, de telles mesures ne seraient pas de nature à modifier les considérations qui précèdent, les faits pertinents sur le plan médical ayant pu être constatés à satisfaction de droit et ayant pu être librement appréciés par la présente juridiction ( appréciation anticipée des preuves : ATF 145 I 167 consid. 4.1 ; 144 II 427 consid. 3.1.3 ; 140 I 285 consid. 6.3.1).</w:t>
      </w:r>
    </w:p>
    <w:p>
      <w:r>
        <w:rPr>
          <w:b/>
        </w:rPr>
        <w:t>E. 10</w:t>
      </w:r>
    </w:p>
    <w:p>
      <w:r>
        <w:t>a) Au vu de ce qui précède, le recours doit être rejeté et la décision sur opposition entreprise confirmée. b) Il n’y a pas lieu de percevoir de frais judiciaires (art. 61 let. f bis LPGA), ni d’allouer de dépens à la partie recourante, qui n’obtient pas gain de cause (art. 61 let. g LPGA). Il n’est pas non plus alloué de dépens à la partie intimée, qui n’y avait pas conclu et qui n’aurait pas pu y prétendre dès lors qu’elle agit dans l’accomplissement d’une tâche réglée par le droit public (ATF 126 I 143 consid. 4). c) La partie recourante est au bénéfice de l’assistance judiciaire. Me Gutierrez peut prétendre à une équitable indemnité pour son mandat d’office, qu’il convient de fixer à 2'625 fr. 85, débours à 5 % et TVA compris (art. 2, 3 al. 2 et 3bis RAJ [règlement cantonal du 7 décembre 2010 sur l’assistance judiciaire en matière civile ; BLV 211.02.3]), conformément à la liste des opérations produites le 29 octobre 2021.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