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1006 vom 2. Februar 2023</w:t>
      </w:r>
    </w:p>
    <w:p>
      <w:r>
        <w:t>VD Tribunal cantonal, 2023-02-02, FR</w:t>
      </w:r>
    </w:p>
    <w:p>
      <w:r>
        <w:rPr>
          <w:b/>
        </w:rPr>
        <w:t xml:space="preserve">Quelle: </w:t>
      </w:r>
      <w:r>
        <w:t>https://mcp.opencaselaw.ch/entscheid/vd_findinfo_Arr_t___2022___1006</w:t>
      </w:r>
    </w:p>
    <w:p>
      <w:r>
        <w:t>FR: VD_FINDINFO Arrêt / 2022 / 1006 du 2 février 2023</w:t>
      </w:r>
    </w:p>
    <w:p>
      <w:r>
        <w:t>IT: VD_FINDINFO Arrêt / 2022 / 1006 del 2 febbraio 2023</w:t>
      </w:r>
    </w:p>
    <w:p>
      <w:pPr>
        <w:pStyle w:val="Heading2"/>
      </w:pPr>
      <w:r>
        <w:t>Regeste</w:t>
      </w:r>
    </w:p>
    <w:p>
      <w:r>
        <w:t>RENTE D'INVALIDITÉ, MOTIF DE RÉVISION, DÉCISION DE RENVOI, CONDITION DE RECEVABILITÉ, DÉLAI DE RECOURS, NOTIFICATION IRRÉGULIÈRE, MESURE D'ORDRE PROFESSIONNEL, ÂGE | 28 LAI, 17 al. 1 LPGA, 49 al. 3 LPGA, 60 al. 1 LPGA</w:t>
      </w:r>
    </w:p>
    <w:p>
      <w:pPr>
        <w:pStyle w:val="Heading2"/>
      </w:pPr>
      <w:r>
        <w:t>Erwägungen</w:t>
      </w:r>
    </w:p>
    <w:p>
      <w:r>
        <w:rPr>
          <w:b/>
        </w:rPr>
        <w:t>E. 2</w:t>
      </w:r>
    </w:p>
    <w:p>
      <w:r>
        <w:t>Le litige a pour objet le droit de la recourante à une rente de l'assurance-invalidité pour la période postérieure au 31 octobre 2020.</w:t>
      </w:r>
    </w:p>
    <w:p>
      <w:r>
        <w:rPr>
          <w:b/>
        </w:rPr>
        <w:t>E. 3</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11 août 2021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a) En l’occurrence, il est admis que la recourante a présenté une incapacité totale de travailler dans toute activité à la suite de son accident, en raison de l’existence attestée d’un syndrome douloureux régional complexe (voir à ce propos CASSO AA 102/16 – 92/2017 du 7 septembre 2017 consid. 4d). Cette totale incapacité de travail lui ouvre le droit à une rente entière d’invalidité à compter du 1 er mai 2017, soit six mois après le dépôt de sa demande de prestations (art. 29 al. 1 LAI ; feuille d’examen du droit à la rente du 16 novembre 2020). b) Se fondant sur l’expertise du Dr G.________, l’OAI considère que la recourante a recouvré une capacité de travail de 70 % dans une activité adaptée à ses limitations fonctionnelles depuis le 14 juillet 2020, date de l’examen pratiqué par ce médecin, et que le degré d’invalidité de la recourante n’est plus que de 34,12 % si bien qu’il y a lieu de mettre fin à sa rente d’invalidité au 31 octobre 2020, soit trois mois après cette amélioration. c) L’office intimé ne saurait toutefois être suivi sur ce point. Les documents médicaux au dossier ne permettent en effet pas de conclure à l’existence d’une amélioration de l’état de santé de la recourante rendant l’exercice d’une activité adaptée exigible. Il ressort du rapport du Dr G.________ que la recourante souffre toujours de douleurs de type « brûlures » qui sont centrées au genou droit et qui sont présentes 24h/24, avec une intensité estimée entre 5/10 et 6/10 sur une échelle visuelle analogique (EVA), avec parfois des poussées algiques critiques jusqu’à 10/10. Les douleurs sont également présentes lors du repos, entraînant un sommeil non-réparateur. Elles sont majorées à la marche nécessitant l’utilisation d’une canne (expertise pp. 6-7 et 11). L’expert a pu constater une allodynie au contact du genou, avec une hypo-esthésie au toucher et une assurée très algique lorsqu’on palpe en particulier le compartiment interne et la région antérieure sous patellaire de son genou. Il a observé une limitation significative de la flexion du genou droit (expertise p. 9). Il mentionne que la patiente se déplace avec difficultés, qu’elle utilise une canne, avec une boiterie de décharge du membre inférieur (expertise pp. 8 et 11). Le traitement antalgique sous différentes formes suivi par la recourante a un effet partiellement favorable (expertise p. 7), les douleurs n’étant qu’en partie stabilisées (expertise p. 14). La poursuite de ce traitement est nécessaire et peut encore conduire à une certaine amélioration (expertise p. 13). L’expert précise qu’il n’y a pas d’indices en faveur d’éléments étrangers à l’accident jouant un rôle dans l’évolution du cas (expertise p. 12), ayant notamment interrogé la recourante sur le déroulement de sa journée (expertise p. 7). Or la situation de la recourante n’apparaît pas améliorée par rapport à celle qui prévalait auparavant. Dans leur rapport du 20 février 2017, les Dres R.________ et X.________ rapportaient également, lors de leur consultation du 23 janvier 2017, une persistance des douleurs au niveau patellaire droit avec brûlures s’étendant sur la face antérieure de la cuisse et de la jambe avec une incapacité à marcher de longues distances sans moyens auxiliaires et une flexion limitée ainsi qu’une perte de force. Le traitement antalgique et la physiothérapie permettaient une amélioration temporaire et partielle des douleurs. De même, les rapports des 10 octobre 2016 et 15 mai 2017 émanant du Service de rhumatologie du B.________ faisaient état d’une symptomatologie douloureuse persistante avec une impotence fonctionnelle partielle au niveau du genou. Il n’y avait pas de douleur nette au repos et pas de notions de réveil nocturne. Les douleurs augmentaient au cours de la journée. Les traitements par blocs géniculés et physiothérapie n’apportaient qu’un soulagement temporaire. Une modification sensible de l'état de santé ne saurait être admise que si elle est corroborée par un changement clairement objectivé de la situation clinique et par l'amélioration, voire la disparition des limitations fonctionnelles précédemment décrites (sur les exigences en matière de preuve pour une évaluation médicale dans le cadre d'une révision, voir arrêts TF 8C_441/2012 du 25 juillet 2013 consid. 6, in SVR 2013 IV n° 44 p. 134, et TF 9C_418/2010 du 29 août 2011 consid. 4.2, in SVR 2012 IV n° 18 p. 81), ce qui ne ressort manifestement pas de l’expertise rhumatologique du Dr G.________. Celui-ci ne se prononce d’ailleurs pas sur l’évolution dans le temps de la symptomatologie rhumatologique. De son côté, la Dre V.________, à laquelle l’expert se réfère, a fait état, dans son rapport du 1 er octobre 2019, d’une évolution caractérisée par la persistance de douleurs de la face externe et interne du genou suite au traumatisme, comprenant des douleurs neuropathiques, avec une réponse transitoire à différents blocs antalgiques au genou droit, et qualifiait le pronostic de réservé (expertise p. 10). On ne voit dès lors pas, sur la base des rapports au dossier, pour quels motifs la situation de la recourante, qui justifiait une totale incapacité de travail en toutes activités depuis l’accident, se serait améliorée au point de permettre l’exercice d’une activité adaptée depuis l’examen du Dr G.________. D’ailleurs, ni l’office intimé ni le SMR n’ont fourni une explication motivée permettant de justifier le choix de cette date. d) Les pièces médicales au dossier sont en outre insuffisantes pour conclure à une stabilisation de l’état de santé ayant des effets sur la capacité de travail. Le Dr G.________, appelé par l’assurance-accidents à déterminer si les suites de l’accident étaient guéries ou stabilisées, a indiqué que les douleurs présentées au genou droit n’étaient qu’en partie stabilisées par le traitement antalgique ad hoc, qu’on observait encore une restriction de la flexion du genou et que le délai théorique quant à une stabilisation de son état était difficile à établir précisément, estimant que la stabilisation devrait être raisonnablement acquise à la fin de l’année 2020, soit cinq ans après le traumatisme. Outre le fait qu’il s’est prononcé en lien avec les critères applicables à l’assurance-accidents, il faut souligner que le Dr G.________ n’explique pas pour quels motifs l’état de santé de la recourante, qui n’était pas encore stabilisé au moment de son examen, le serait quelques mois plus tard. Le dossier ne contient aucun rapport selon lequel l’expert aurait effectivement confirmé la stabilisation qu’il envisageait. Dans un rapport du 2 juin 2020, le Dr M.________ indique, au niveau de l’évolution, une stabilisation de l’état de santé, sans plus de précision, tout en mentionnant la persistance des douleurs du genou. Il estimait qu’une reprise du travail à un taux de 50 % (tolérance aux efforts exigible de 50 % et présence exigible de 50 %) était envisageable. Son avis n’était toutefois pas partagé par la Dre N.________ qui, dans son rapport du 11 mars 2021, considère que la capacité de travail de la recourante est nulle en toutes activités, précisant que lors de la consultation du jour, la patiente marchait toujours avec des béquilles et s’était plainte de douleurs en pleurant durant l’entretien. e) En l’absence de documents médicaux permettant de se prononcer en connaissance de cause sur l’éventuelle récupération par la recourante d’une capacité de travail dans une activité adaptée, il convient de renvoyer la cause à l’OAI pour complément d’instruction. L’office intimé est invité à instruire l’évolution de l’atteinte à la santé et à déterminer si, et le cas échéant à partir de quand, une capacité de travail dans une activité adaptée est exigible et à quel taux.</w:t>
      </w:r>
    </w:p>
    <w:p>
      <w:r>
        <w:rPr>
          <w:b/>
        </w:rPr>
        <w:t>E. 5</w:t>
      </w:r>
    </w:p>
    <w:p>
      <w:r>
        <w:t>a) C’est en outre à juste titre que la recourante reproche à l’OAI de ne pas avoir examiné s’il convenait de mettre en place des mesures d’ordre professionnel avant de supprimer son droit à la rente, malgré le fait qu’elle était âgée de près de 60 ans au moment de la décision attaquée. b) 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(TF 8C_510/2020 du 15 avril 2021 consid. 5.2 ; TF 9C_163/2009 du 10 septembre 2010 consid. 4.2.2 et les références).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Cette jurisprudence, qui est également applicable lorsque l’on statue sur la limitation ou l’échelonnement en même temps que sur l’octroi de la rente (ATF 145 V 209 consid. 5), ne signifie pas que la personne assurée peut se prévaloir d'un droit acquis dans le cadre d'une procédure de révision ou de reconsidération ;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9C_211/2021 du 5 novembre 2021 consid. 3.1 et les arrêts cités). En cas d'allocation à titre rétroactif d'une rente limitée et/ou échelonnée dans le temps – tout comme lors de la révision selon l'art. 17 LPGA du droit à une rente existante –, il faut se fonder sur le moment du prononcé de la décision pour déterminer si l'âge de référence de 55 ans est atteint (ATF 148 V 321 consid. 7.3). c) En l’occurrence, dans l’hypothèse où l’instruction à mener par l’OAI conduirait à conclure à l’existence d’une récupération d’une capacité de travail ayant un impact sur le droit à la rente, il appartiendra encore à l’OAI d’examiner la nécessité de mettre en œuvre des mesures d’ordre professionnel, et le cas échéant de les mettre en œuvre, avant de procéder à la réduction ou la suppression de la rente.</w:t>
      </w:r>
    </w:p>
    <w:p>
      <w:r>
        <w:rPr>
          <w:b/>
        </w:rPr>
        <w:t>E. 6</w:t>
      </w:r>
    </w:p>
    <w:p>
      <w:r>
        <w:t>a) Le recours est par conséquent admis.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31 octobre 2022 par Me Yero Diagne, compte tenu de l’importance et de la complexité du litige, il convient d’arrêter l’indemnité à 2'800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couvre ce qui aurait été alloué à titre d’indemnité pour le mandat d’office au vu de la liste des opérations fournie par Me Yero Diagne.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