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99 vom 16. März 2021</w:t>
      </w:r>
    </w:p>
    <w:p>
      <w:r>
        <w:t>VD Tribunal cantonal, 2021-03-16, FR</w:t>
      </w:r>
    </w:p>
    <w:p>
      <w:r>
        <w:rPr>
          <w:b/>
        </w:rPr>
        <w:t xml:space="preserve">Quelle: </w:t>
      </w:r>
      <w:r>
        <w:t>https://mcp.opencaselaw.ch/entscheid/vd_findinfo_Arr_t___2021___99</w:t>
      </w:r>
    </w:p>
    <w:p>
      <w:r>
        <w:t>FR: VD_FINDINFO Arrêt / 2021 / 99 du 16 mars 2021</w:t>
      </w:r>
    </w:p>
    <w:p>
      <w:r>
        <w:t>IT: VD_FINDINFO Arrêt / 2021 / 99 del 16 marzo 2021</w:t>
      </w:r>
    </w:p>
    <w:p>
      <w:pPr>
        <w:pStyle w:val="Heading2"/>
      </w:pPr>
      <w:r>
        <w:t>Regeste</w:t>
      </w:r>
    </w:p>
    <w:p>
      <w:r>
        <w:t>RENTE D'INVALIDITÉ, MESURE DE RÉADAPTATION{ASSURANCE SOCIALE}, CERTIFICAT MÉDICAL, DEGRÉ DE L'INVALIDITÉ, FORCE PROBANTE, DROIT D'ÊTRE ENTENDU, HERNIE DISCALE, ÉVALUATION DE L'INCAPACITÉ DE TRAVAIL | 8 LAI, 6 LPGA, 7 LPGA, 8 LPGA, 49 RAI</w:t>
      </w:r>
    </w:p>
    <w:p>
      <w:pPr>
        <w:pStyle w:val="Heading2"/>
      </w:pPr>
      <w:r>
        <w:t>Erwägungen</w:t>
      </w:r>
    </w:p>
    <w:p>
      <w:r>
        <w:rPr>
          <w:b/>
        </w:rPr>
        <w:t>E. 5</w:t>
      </w:r>
    </w:p>
    <w:p>
      <w:r>
        <w:t>Le recourant invoque la violation de son droit d’être entendu, en relation avec le refus de l’OAI de lui accorder des mesures de réadaptation, sous la forme d’un défaut de motivation de la décision sur ce point. Il conteste également le refus de ces mesures sous l’angle de la violation de la loi.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c) En l’espèce, il ressort du rapport REA du 11 décembre 2019 qu’aucune mesure professionnelle ne serait de nature à réduire le préjudice économique, ce que le Dr S.________ attestait également dans son rapport dont la force probante a été établie ci-avant. Comme ces mesures étaient vouées à l’échec selon toute vraisemblance, le pronostic sur les chances de succès était défavorable. Il en découle qu’aucune mesure n’était de nature à maintenir ou améliorer la capacité de gain du recourant, de sorte que l’OAI a agi conformément à la loi en décidant de les refuser. Au demeurant, le recourant n’a semble-t-il pas entrepris de recherches de formation, de stage ou d’emploi adapté à ses limitations fonctionnelles, après l’échec des mesures auprès de la fondation [...] et d’U.________, ce qui peut raisonnablement faire douter de son aptitude subjective à suivre des mesures de réadaptation. S’agissant de la violation alléguée du droit d’être entendu du recourant, force est de constater que ce dernier a eu accès à l’intégralité de son dossier avant que la décision ne soit rendue, qu’il l’a étudié et a formulé des objections au projet de décision. Il a donc eu connaissance du fait que l’OAI refusait de mettre en place toute mesure d’ordre professionnel, ainsi que des motifs de ce refus (cf. rapport d’examen du SMR). Quant à la motivation de la décision, compte tenu de ce qui précède, celle-ci permet de comprendre les motifs qui ont guidé l’autorité et sur lesquels elle s’est fondée. Le grief s’avère ainsi mal fondé.</w:t>
      </w:r>
    </w:p>
    <w:p>
      <w:r>
        <w:rPr>
          <w:b/>
        </w:rPr>
        <w:t>E. 6</w:t>
      </w:r>
    </w:p>
    <w:p>
      <w:r>
        <w:t>Le calcul du taux d’invalidité n’est pas contesté. Vérifié d’office, il peut être confirmé. Au vu du degré d’invalidité de 33.5 % constaté, le droit à une rente de l’assurance-invalidité n’est pas ouvert au recourant.</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140 I 285 consid. 6.3.1, 131 I 153 consid. 3 et 125 I 127 consid. 6c/cc ; TF 8C_660/2015 du 24 février 2016 consid. 4.1). Une telle manière de procéder ne viole pas le droit d'être entendu selon l'art. 29 al. 2 Cst. (ATF 124 V 90 consid. 4b, 122 V 157 consid. 1d, 119 V 335 consid. 3c et 104 V 209 consid. a ; TF 8C_372/2014 du 12 mai 2015 consid. 4.3). b) En l’occurrence, le dossier est complet et permet à la Cour de céans de statuer en pleine connaissance de cause. Il n’y a dès lors pas lieu de donner suite à la mesure d’instruction requise par le recourant, à savoir la mise en œuvre d’une expertise pluridisciplinaire. En effet, une telle mesure ne serait pas de nature à modifier les considérations qui précèdent, les faits pertinents ayant pu être constatés à satisfaction de droit. La requête du recourant en ce sens doit ainsi être rejetée.</w:t>
      </w:r>
    </w:p>
    <w:p>
      <w:r>
        <w:rPr>
          <w:b/>
        </w:rPr>
        <w:t>E. 8</w:t>
      </w:r>
    </w:p>
    <w:p>
      <w:r>
        <w:t>a) En définitive,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