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973 vom 3. November 2021</w:t>
      </w:r>
    </w:p>
    <w:p>
      <w:r>
        <w:t>VD Tribunal cantonal, 2021-11-03, FR</w:t>
      </w:r>
    </w:p>
    <w:p>
      <w:r>
        <w:rPr>
          <w:b/>
        </w:rPr>
        <w:t xml:space="preserve">Quelle: </w:t>
      </w:r>
      <w:r>
        <w:t>https://mcp.opencaselaw.ch/entscheid/vd_findinfo_Arr_t___2021___973</w:t>
      </w:r>
    </w:p>
    <w:p>
      <w:r>
        <w:t>FR: VD_FINDINFO Arrêt / 2021 / 973 du 3 novembre 2021</w:t>
      </w:r>
    </w:p>
    <w:p>
      <w:r>
        <w:t>IT: VD_FINDINFO Arrêt / 2021 / 973 del 3 novembre 2021</w:t>
      </w:r>
    </w:p>
    <w:p>
      <w:pPr>
        <w:pStyle w:val="Heading2"/>
      </w:pPr>
      <w:r>
        <w:t>Regeste</w:t>
      </w:r>
    </w:p>
    <w:p>
      <w:r>
        <w:t>PRÉAVIS{ASSURANCE SOCIALE}, RÉDUCTION DE L'HORAIRE DE TRAVAIL, VIRUS{MALADIE}, DÉPÔT{EN GÉNÉRAL} | 36 al. 1 LACI, art. 17b Loi COVID-19</w:t>
      </w:r>
    </w:p>
    <w:p>
      <w:pPr>
        <w:pStyle w:val="Heading2"/>
      </w:pPr>
      <w:r>
        <w:t>Erwägungen</w:t>
      </w:r>
    </w:p>
    <w:p>
      <w:r>
        <w:rPr>
          <w:b/>
        </w:rPr>
        <w:t>E. 3</w:t>
      </w:r>
    </w:p>
    <w:p>
      <w:r>
        <w:t>novembre 2021 __________________ Composition : M. Piguet , président Mmes Pasche et Dessaux, juges Greffière : Mme              Monod ***** Cause pendante entre : B.________Sàrl , à [...], recourante, et Service de l'emploi , Instance Juridique Chômage, à Lausanne, intimé. _______________ Art. 17 b Loi COVID-19 ; art. 36 al. 1 LACI E n  f a i t  : A. B.________Sàrl (ci-après également : la société ou la recourante) est une société active dans le domaine du marketing et de l'identité visuelle des entreprises. Le 22 janvier 2021, elle a transmis au Service de l'emploi (ci-après : le SDE ou l'intimé) un préavis, par lequel elle a requis des indemnités en cas de réduction de l'horaire de travail à compter du 1 er décembre 2020. Une confirmation de cette requête a été adressée à la société par voie électronique le même jour. Par décision du 8 mars 2021, le SDE a accepté partiellement la demande de la société, soit uniquement à compter du 1 er février 2021 pour une durée de trois mois, étant donné le dépôt de son préavis en date du 22 janvier 2021. B.________Sàrl s'est opposée à cette décision aux termes d'une correspondance du 9 mars 2021, concluant à l'octroi d'indemnités en cas de réduction de l'horaire de travail à partir du 1 er décembre 2020. Elle alléguait avoir déposé un premier préavis en ligne en vue de l'obtention des indemnités en novembre 2020. Elle n'avait toutefois reçu aucune confirmation de réception, ni réponse de l'administration. Dès lors, elle avait formulé une seconde requête le 22 janvier 2021, pour laquelle elle avait immédiatement reçu une confirmation de réception. Elle précisait que l'intervalle écoulé entre les deux demandes s'expliquait notamment par la maladie contractée par son associé gérant en décembre 2020 et par sa mise en quarantaine durant dix jours en janvier 2021. Invitée par le SDE à attester du dépôt de son premier préavis de novembre 2020, la société a réitéré ses allégations par courriel du 17 juillet 2021. Le SDE a, par décision sur opposition du 5 août 2021, réformé partiellement sa décision du 8 mars 2021, en ce sens que les indemnités en cas de réduction de l'horaire de travail étaient octroyées à la société dès le 22 janvier 2021, en lieu et place du 1 er février 2021. Elle a retenu que la société n'avait pas apporté la preuve du dépôt d'un préavis en novembre 2020, de sorte que la date du 22 janvier 2021 constituait la date de dépôt déterminante. La maladie de l'associé gérant ne justifiait pas une appréciation différente de la situation. Un octroi rétroactif des indemnités n'était au surplus pas envisageable, compte tenu du domaine d'activités de la société. B. B.________Sàrl a déféré la décision sur opposition du 5 août 2021 à la Cour des assurances sociales du Tribunal cantonal par mémoire de recours du 31 août 2021. Elle a conclu implicitement à l'octroi des indemnités litigieuses dès le 1 er décembre 2020, reprenant pour l'essentiel les arguments précédemment développés. Elle a ajouté que son ancien collaborateur, lequel utilisait son ordinateur privé à des fins professionnelles, avait imprimé l'historique de navigation internet pour la journée du 9 novembre 2020. Il en ressortait la consultation des pages internet de l'Etat de Vaud relatives aux indemnités en cas de réduction de l'horaire de travail. On pouvait ainsi, à son avis, déduire que le premier préavis avait été déposé par son collaborateur à la date précitée. Était jointe, entre autres pièces, une capture d'écran de l'historique de navigation en question durant la journée du 9 novembre 2020. Le SDE a répondu au recours le 4 octobre 2021 et conclu à son rejet. L'historique de navigation du collaborateur de la société ne constituait pas, de son point de vue, une preuve, fondée sur des éléments matériels, du dépôt d'un préavis en novembre 2020. E n  d r o i t  : 1. a) Sous réserve de dérogation expresse, les dispositions de la LPGA (loi fédérale du</w:t>
      </w:r>
    </w:p>
    <w:p>
      <w:r>
        <w:rPr>
          <w:b/>
        </w:rPr>
        <w:t>E. 6</w:t>
      </w:r>
    </w:p>
    <w:p>
      <w:r>
        <w:t>a) En l'espèce, force est de constater que la recourante n'a pas été en mesure d'établir avoir déposé une demande d'indemnisation en cas de réduction de l'horaire de travail au cours du mois de novembre 2020. En particulier, on peut observer que la recourante n'a pas pu fournir une copie du formulaire – obligatoirement généré par le système informatique – qu'elle allègue avoir complété à cette période. Ainsi que le soutient l'intimé dans sa réponse du 4 octobre 2021, la capture d'écran de l'historique de navigation internet de l'ordinateur privé de son ancien collaborateur permet tout au plus de conclure que ce dernier a consulté les pages internet du site de l'Etat de Vaud dédiée à la problématique des indemnités en cas de réduction de l'horaire de travail en date du 9 novembre 2020. Ce constat ne permet pas de déduire, au degré de la vraisemblance prépondérante, le dépôt effectif d'une demande d'indemnisation à cette date. Au surplus, les arguments de la recourante en lien avec la maladie et la quarantaine subie par son associé gérant en décembre 2020, respectivement janvier 2021, sont sans pertinence dans ce contexte. b) On ajoutera que la recourante ne peut se prévaloir de la règle contenue à l'art. 17 b al. 2 de la Loi COVID-19, laquelle prévoit l'octroi à titre rétroactif des indemnités en cas de réduction de l'horaire de travail, dès lors qu'elle est active dans le domaine de l'identité numérique, soit dans une branche qui n'a pas été concernée par les mesures ordonnées par les autorités à compter du 18 décembre 2020. c) Sur le vu de ce qui précède, l'intimé était fondé à retenir, sur la base de l'art. 17 b al. 1 de la Loi COVID-19, que la recourante avait déposé son préavis le 22 janvier 2021 et à lui octroyer des indemnités en cas de réduction de l'horaire de travail à partir de cette date.</w:t>
      </w:r>
    </w:p>
    <w:p>
      <w:r>
        <w:rPr>
          <w:b/>
        </w:rPr>
        <w:t>E. 7</w:t>
      </w:r>
    </w:p>
    <w:p>
      <w:r>
        <w:t>a) En définitive, le recours, mal fondé, doit être rejeté et la décision sur opposition litigieuse confirmée. b) Il n'y a pas lieu de percevoir de frais judiciaires, la loi spéciale ne le prévoyant pas (art. 61 let. f bis LPGA), ni d'allouer de dépens, dès lors que la recourante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