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941 vom 2. Dezember 2021</w:t>
      </w:r>
    </w:p>
    <w:p>
      <w:r>
        <w:t>VD Tribunal cantonal, 2021-12-02, FR</w:t>
      </w:r>
    </w:p>
    <w:p>
      <w:r>
        <w:rPr>
          <w:b/>
        </w:rPr>
        <w:t xml:space="preserve">Quelle: </w:t>
      </w:r>
      <w:r>
        <w:t>https://mcp.opencaselaw.ch/entscheid/vd_findinfo_Arr_t___2021___941</w:t>
      </w:r>
    </w:p>
    <w:p>
      <w:r>
        <w:t>FR: VD_FINDINFO Arrêt / 2021 / 941 du 2 décembre 2021</w:t>
      </w:r>
    </w:p>
    <w:p>
      <w:r>
        <w:t>IT: VD_FINDINFO Arrêt / 2021 / 941 del 2 dicembre 2021</w:t>
      </w:r>
    </w:p>
    <w:p>
      <w:pPr>
        <w:pStyle w:val="Heading2"/>
      </w:pPr>
      <w:r>
        <w:t>Regeste</w:t>
      </w:r>
    </w:p>
    <w:p>
      <w:r>
        <w:t>RÉVISION{DÉCISION}, ÉVALUATION DE L'INVALIDITÉ, INCAPACITÉ DE TRAVAIL, MESURE D'ORDRE PROFESSIONNEL, ÂGE, DÉCISION DE RENVOI | 28 LAI, 4 LAI, 8 LAI, 17 LPGA, 88a al. 1 RAI</w:t>
      </w:r>
    </w:p>
    <w:p>
      <w:pPr>
        <w:pStyle w:val="Heading2"/>
      </w:pPr>
      <w:r>
        <w:t>Erwägungen</w:t>
      </w:r>
    </w:p>
    <w:p>
      <w:r>
        <w:rPr>
          <w:b/>
        </w:rPr>
        <w:t>E. 2</w:t>
      </w:r>
    </w:p>
    <w:p>
      <w:r>
        <w:t>Le litige porte sur la suppression, par voie de révision, de la demi-rente de l’assurance-invalidité allouée au recourant depuis le 1 er juin 2017, singulièrement le degré d’invalidité qu’il présente depuis avril 2019.</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Conformément à l’art. 28 al. 2 LAI, un taux d’invalidité de 40% donne droit à un quart de rente, un taux d’invalidité de 50% au moins donne droit à une demi-rente, un taux d’invalidité de 60% au moins donne droit à trois-quarts de rente et un taux d’invalidité de 70%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5</w:t>
      </w:r>
    </w:p>
    <w:p>
      <w:r>
        <w:t>a) En l’espèce, la décision entreprise repose essentiellement sur les conclusions du SMR, plus précisément du Dr J.________. Aux termes de ses avis, il a retenu que le recourant présentait une capacité de travail de 50% dans son activité habituelle et de 100% dans une activité adaptée aux limitations fonctionnelles (pas de port de charges de plus de 10kg, pas de travail avec le membre supérieur droit au-dessus de l’horizontale, pas d’effort physique important, pas de travail en hauteur, de nuit ou avec des horaires irréguliers et pas d’utilisation de véhicules à moteur). Il convient d’examiner si, entre la décision octroyant une demi-rente au recourant et la décision litigieuse du 3 février 2021, l’état de santé du recourant s’est modifié de façon à influencer son droit à des prestations de l’assurance-invalidité. b) S’agissant, tout d’abord, de la capacité de travail dans l’activité habituelle, F.________ a informé l’intimé que le poste occupé par le recourant n’était plus compatible avec son état de santé (rendement diminué, activités limitées ou impossibles) (cf. questionnaire du 17 juillet 2019) et a été contrainte de le licencier. A son sens, le taux de 50% ne convenait pas du tout au recourant, ce qu’atteste au demeurant les multiples arrêts de travail depuis la reprise post-opératoire. La Dre G.________ a également indiqué, à plusieurs reprises, qu’en raison de son diabète le recourant présentait des malaises hypoglycémiques à répétition avec régulièrement des pertes de connaissance, le mettant en danger lors de son travail ainsi que lors de ses déplacements au travail. Sa condition de santé lui interdisait de rester à son poste de travail (cf. rapports des 29 juin, 6 juillet et 8 juillet 2020). Le Dr H.________ a, quant à lui, considéré que l’activité habituelle n’était plus adaptée, du moins tant que les hypoglycémies survenaient. Même sans hypoglycémies, ce médecin a noté que ce poste était trop pénible en raison de l’asthénie et de la fatigabilité rapide du recourant, liées indirectement au diabète et à un déconditionnement physique important, surtout à la suite de l’insuffisance rénale chronique. Au vu de ce qui précède, il paraît peu vraisemblable que la capacité de travail du recourant dans son activité habituelle, telle que retenue par le Dr J.________, affère 50%. c) Concernant, ensuite, la capacité de travail dans une activité adaptée, le Dr J.________, et par lui l’intimé, considère qu’elle est entière, ce que conteste le médecin traitant. À cet égard, la Dre G.________ a, dans un premier temps, relevé qu’une activité adaptée ne pourrait être envisagée que lorsque le recourant aurait au moins un profil glycémique stable ainsi que récupéré une condition physique (cf. rapport du 6 juillet 2020). Elle a, dans un deuxième temps, expliqué qu’aucune activité adaptée ne semblait envisageable au vu de la complexité de trouver dite activité et compte tenu du fait que le recourant pouvait à peine rester seul à la maison, ajoutant que le diabète restait à stabiliser ce qui s’avérait compliqué chez les transplantés rénaux (cf. rapports des 8 juillet, 29 septembre et 2 décembre 2020). Questionnée par l’intimé, ce médecin a toutefois reconnu une capacité de travail de 50% au recourant dans une activité adaptée, soit un travail assis avec des charges de mains de 5kg maximum, des pauses fréquentes, pas de nuits ou d’horaires irréguliers, pas d’effort physique important et pas de travail en hauteur. L’appréciation de la Dre X.________, sur laquelle se base l’intimé pour retenir une capacité de travail à 100% dans une activité adaptée, repose sur un examen clinique du 10 août 2020 (cf. avis SMR du 23 avril 2021), étant précisé que cette praticienne a indiqué qu’elle ne suivait plus en consultation le recourant depuis cet examen. Quant à l’appréciation du Prof. B.________, elle remonte à avril 2019, étant précisé qu’elle avait estimé que le profil glycémique du recourant n’était pas stabilisé. Il pouvait dès lors être exigible d’insister auprès de la Dre M.________, laquelle suit désormais le recourant, pour qu’elle se prononce exhaustivement sur la capacité de travail et les limitations fonctionnelles de ce dernier, à défaut interpeller la Dre C.________, néphrologue nouvellement consultée par le recourant. Dans son rapport du 25 mars 2020, certes postérieur à la décision litigieuse mais dont le libellé autorise à admettre qu’il se prononce sur l’évolution de la capacité de travail depuis l’incapacité totale du 22 juin 2020, le Dr H.________ retient que dans une activité adaptée, sédentaire, non dangereuse, un travail industriel simple et léger par exemple, la capacité de travail pourrait être de 50%, à condition que les hypoglycémies disparaissent, ajoutant qu’il lui paraît peu probable qu’un taux de 50% puisse être dépassé, en tout cas dans les premiers mois d’une reprise. Il n’était pas possible de fixer de délai pour ladite reprise. Il a également relevé que le lieu de travail devait être proche du domicile pour éviter de trop longs trajets en voiture et que l’activité adaptée devait être légère et éviter tout danger pour le recourant et ses collègues en cas d’hypoglycémie. Cet avis a été confirmé par la Dre G.________ qui a estimé qu’il était illusoire de trouver une activité adaptée tant que le contrôle du diabète n’était pas assuré. Le risque de malaises avec mise en danger de lui-même et d’autrui devait être additionné aux dangers infectieux limitants le travail en équipe, à la fatigabilité physique et intellectuelle en relation avec le déconditionnement physique et psychique, constatant par ailleurs une dégradation de la fonction rénale (cf. rapport du 16 juin 2021). d) Il apparaît également que le médecin traitant du recourant et le Dr H.________ ont relevé la présence d’un trouble dépressif (cf. rapports des 11 mai 2019 et 25 mars 2021). De même, tant la Dre C.________ que le Dr H.________ ont signalé des complications neuropathiques (cf. rapports des 14 janvier et 25 mars 2021). Or l’impact de ces éléments sur la capacité de travail et les limitations fonctionnelles n’a pas été examiné par l’intimé. e) Il ressort des considérants qui précèdent que l’instruction menée par l’intimé est lacunaire et ne permet pas de se prononcer en toute connaissance de cause sur le droit du recourant à des prestations de l’assurance-invalidité, dès lors que l’intimé s’est abstenu de procéder à des mesures d’instruction en vue de trancher objectivement les avis médicaux divergents au dossier, soit les avis du médecin traitant et du Dr H.________, d’une part, et ceux du SMR, d’autre part. On ne voit pas quels éléments suffisamment probants ont pu conduire l’intimé à retenir que le recourant présentait une capacité de travail de 50% dans son activité habituelle, au demeurant peu vraisemblable (cf. consid. 5b supra ), et une capacité de travail entière dans une activité adaptée à son état de santé. Ni l’état de santé du recourant dans sa globalité, ni les conséquences de cet état de santé sur la capacité de travail n’ont été établies de manière exhaustive.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de mettre en œuvre une expertise, après avoir actualisé le dossier médical auprès des différents médecins qui suivent le recourant (notamment la Dre M.________ s’agissant du diabète, la Dre C.________ s’agissant de la fonction rénale et la Dre G.________ s’agissant des diagnostics incapacitants retenus par celle-ci, plus particulièrement la neuropathie et le trouble anxiodépressif) afin de déterminer précisément les limitations fonctionnelles du recourant compte tenu de l’ensemble des pathologies rendues vraisemblables et de se prononcer valablement sur le degré d’invalidité du recourant. f) Il sied encore de constater qu’une incapacité totale de travail a été admise de décembre 2018 à avril 2019. Cette incapacité donnerait ainsi droit à une rente entière de mars 2019 à juillet 2019. Or la décision de l’intimé est sibylline. Elle mentionne en effet la suppression de la rente entière dès le premier jour du deuxième mois suivant la notification de la décision litigieuse, ce qui pourrait laisser à penser qu’une rente entière est octroyée de mars 2019 jusqu’à l’échéance précitée, mais ne discute pas de l’aggravation ni du calcul du montant de la rente entière. Il est donc probable qu’il faille comprendre qu’il s’agit non pas d’une rente entière mais de la demi-rente octroyée au recourant depuis le 1 er juin 2017. Dans la mesure où la décision litigieuse est annulée pour complément d’instruction médicale, la question du droit à une rente entière dans les suites de la greffe et sa durée exacte devra être déterminée en fonction de ladite instruction.</w:t>
      </w:r>
    </w:p>
    <w:p>
      <w:r>
        <w:rPr>
          <w:b/>
        </w:rPr>
        <w:t>E. 6</w:t>
      </w:r>
    </w:p>
    <w:p>
      <w:r>
        <w:t>Par ailleurs, dans l’hypothèse où une suppression de rente devait être admise, l’intimé aurait négligé les circonstances particulières du cas d’espèce, compte tenu de la jurisprudence en matière de mesures de réadaptation, exposée ci‑dessous. a)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(cf. TF 9C_178/2014 du 29 juillet 2014 consid. 7.1.2.1 ; 9C_368/2010 du 31 janvier 2011 consid. 5.2.2.1 et 9C_163/2009 du 10 septembre 2010 consid. 4.2.2 et les arrêts cités). b)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 on admet seulement que sauf exceptions, une réadaptation par soi-même ne peut pas être exigée d'eux en raison de leur âge ou de la longue durée de la rente (cf. également TF 9C_178/2014 précité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(ATF 141 V 5 consid. 4). c) En l’espèce, si le recourant a bénéficié d’une demi-rente d’invalidité dès le 1 er juin 2017, il avait déjà plus de 55 ans à la date de la suppression de cette rente. Il appartient ainsi à la catégorie d’assurés dont il convient de présumer qu’ils ne peuvent en principe pas entreprendre de leur propre chef tout ce que l’on peut raisonnablement attendre d’eux pour tirer profit de leur capacité résiduelle de travail (TF 9C_517/2016 du 7 mars 2017 consid. 5.1 et 5.2). d) Au vu des principes développés ci-avant, le recourant aurait pu prétendre à l’octroi de mesures de réadaptation. En l’occurrence, un pronostic doit être posé sur les chances de succès de telles mesures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l’Office 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Le recourant a exercé une activité lucrative du 24 novembre 2003 au 30 avril 2021 et a été en incapacité totale de travail dès janvier 2020 jusqu’à son licenciement intervenu en février 2021. Il ne ressort pas des pièces au dossier que la perspective d’un retour en emploi se serait présentée à lui. Objectivement, une réadaptation par soi-même n’aurait pas apparu exigible. Dans le cadre de la procédure de révision, aucune mesure de réadaptation n’a été proposée au recourant, ni préconisée par le SMR, de telle sorte qu’il ne peut être établi que son aptitude subjective à la réadaptation aurait fait défaut, d’autant plus que le recourant a indiqué se tenir à disposition de l’intimé pour un stage d’évaluation (cf. lettre du 16 mai 2020). e) Au vu de ce qui précède, il apparaît que dans l’hypothèse où même une pleine capacité de travail dans une activité adaptée devait être reconnue au recourant au-delà d’avril 2019, la reprise d’une activité professionnelle n’aurait pas été exigible sans examen de la mise en œuvre préalable de mesures de réadaptation. Or force est de constater que la question de la réadaptation sous l’angle de l’art. 17 LPGA n’a pas été abordée et devra l’être si le complément d’instruction confirme la suppression de la rente.</w:t>
      </w:r>
    </w:p>
    <w:p>
      <w:r>
        <w:rPr>
          <w:b/>
        </w:rPr>
        <w:t>E. 7</w:t>
      </w:r>
    </w:p>
    <w:p>
      <w:r>
        <w:t>a) En définitive, le recours doit être admis et la décision attaquée annulée, la cause étant renvoyée à l’intimé pour complément d’instruction dans le sens des considérants et nouvelle décision. b) La procédure de recours en matière de contestations portant sur l’octroi ou le refus de prestations de l’assurance-invalidité est soumise à des frais de justice (art. 69 al.1bis LAI). En l’occurrence, les frais de justice doivent être fixés à 600 fr. et mis à la charge de l’intimé, qui succombe.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