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912 vom 8. November 2021</w:t>
      </w:r>
    </w:p>
    <w:p>
      <w:r>
        <w:t>VD Tribunal cantonal, 2021-11-08, FR</w:t>
      </w:r>
    </w:p>
    <w:p>
      <w:r>
        <w:rPr>
          <w:b/>
        </w:rPr>
        <w:t xml:space="preserve">Quelle: </w:t>
      </w:r>
      <w:r>
        <w:t>https://mcp.opencaselaw.ch/entscheid/vd_findinfo_Arr_t___2021___912</w:t>
      </w:r>
    </w:p>
    <w:p>
      <w:r>
        <w:t>FR: VD_FINDINFO Arrêt / 2021 / 912 du 8 novembre 2021</w:t>
      </w:r>
    </w:p>
    <w:p>
      <w:r>
        <w:t>IT: VD_FINDINFO Arrêt / 2021 / 912 del 8 novembre 2021</w:t>
      </w:r>
    </w:p>
    <w:p>
      <w:pPr>
        <w:pStyle w:val="Heading2"/>
      </w:pPr>
      <w:r>
        <w:t>Regeste</w:t>
      </w:r>
    </w:p>
    <w:p>
      <w:r>
        <w:t>RENTE D'INVALIDITÉ, AFFECTION DORSALE, REJET DE LA DEMANDE, EXPERTISE MÉDICALE, ÉVALUATION DE L'INVALIDITÉ, SERVICE MÉDICAL RÉGIONAL | 28 al. 1 LAI, 8 al. 1 LAI, 16 LPGA, 6 LPGA, 49 RAI, 87 al. 2 RAI, 87 al. 3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formé le 17 août 2020 contre la décision de l’intimé du 15 juin 2020 a été déposé en temps utile, compte tenu des féries judiciaires estivales, auprès du tribunal compétent (art. 38 al. 4 let. b LPGA, par renvoi de l’art. 60 al. 2 LPGA et art. 93 let. a LPA-VD [loi cantonale vaudoise du 28 octobre 2008 sur la procédure administrative ; BLV 173.36]).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125 V 413 consid. 2c ; TF 9C_678/2011 du 4 janvier 2012 consid. 3.1). b) Le litige a pour objet le droit de la recourante à des prestations de l’assurance-invalidité, en particulier l’appréciation de sa capacité résiduelle de travail, et s’inscrit dans le cadre d’une nouvelle demande, sur laquelle l’intimé est entré en matière.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dans sa teneur en vigueur au 30 décembre 2020, vu l’art. 82a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consid. 3).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(art. 17 al. 1 LPGA).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w:t>
      </w:r>
    </w:p>
    <w:p>
      <w:r>
        <w:rPr>
          <w:b/>
        </w:rPr>
        <w:t>E. 6</w:t>
      </w:r>
    </w:p>
    <w:p>
      <w:r>
        <w:t>En l’espèce, il convient de déterminer si l’état de santé de la recourante s’est péjoré, dans une mesure susceptible de modifier l’exigibilité de l’exercice d’une activité adaptée et de justifier l’octroi de prestations de l’assurance-invalidité, depuis la précédente décision au fond, datée du 1 er février 2007. Il est établi qu’à cette époque, la recourante avait pu reprendre une activité professionnelle, à temps complet, l’évolution de son état de santé ayant été favorable après l’intervention chirurgicale neuro-orthopédique de décompression et stabilisation dont elle avait bénéficié en mars 2005. L’intimé avait alors rejeté la première demande de prestations de la recourante, décision que cette dernière n’avait pas contestée et qui était entrée en force et définitive. Il est établi que la symptomatologie douloureuse de la recourante, au niveau du rachis, s’est à nouveau présentée et accentuée, jusqu’à ce que le 16 juin 2017, son médecin traitant lui prescrive un arrêt complet de travail (cf. rapport de la Dre C.________ du 15 novembre 2017). L’éventuel droit de la recourante à une rente d’invalidité était donc susceptible de naître un an plus tard, en juin 2018, eu égard au délai d’attente de l’art. 28 al. 1 LAI (consid. 3b supra ). Dans le cadre de la présente procédure, la recourante ne conteste pas l’inexigibilité de son activité habituelle d’agente de sécurité, ni la nature de son atteinte à la santé, concernant exclusivement sa santé physique. La recourante prétend en revanche que son état de santé s’est aggravé depuis la décision du 1 er février 2007 et que les effets de cette aggravation engendrent une modification de son degré d’invalidité, de sorte que le droit à une rente lui était ouvert et aurait dû lui être accordé par l’OAI. La recourante critique la décision entreprise sur le plan médical, s’agissant de sa capacité de travail résiduelle, et sur le plan économique, s’agissant des activités compatibles avec ses limitations fonctionnelles.</w:t>
      </w:r>
    </w:p>
    <w:p>
      <w:r>
        <w:rPr>
          <w:b/>
        </w:rPr>
        <w:t>E. 7</w:t>
      </w:r>
    </w:p>
    <w:p>
      <w:r>
        <w:t>Du point de vue médical, la décision attaquée retient que la recourante dispose d’une capacité de travail de 90 %, compte tenu d’une diminution de rendement de 10 %, dans une activité adaptée à ses limitations fonctionnelles. Cette constatation correspond au résultat de l’examen clinique rhumatologique pratiqué par le Dr L.________ du SMR, dont le rapport est daté du 4 février 2020, confirmé ensuite par l’avis médical du SMR du 12 avril 2021. Il convient de se pencher sur la valeur probante de ce document médical, conformément à la jurisprudence en la matière (consid. 5 supra ). a) Le Dr L.________ du SMR a rencontré la recourante et procédé à des examens cliniques complets et détaillés dans son rapport (status général, neurologique, et ostéoarticulaire). Il a établi l’anamnèse familiale, scolaire et professionnelle de la recourante. Le Dr L.________ a listé et résumé les différents documents médicaux qui étaient à sa disposition, soit les rapports médicaux depuis la période de 2004-2005 jusqu’à ceux des Drs T.________, C.________ et l’attestation du Dr G.________. Il a également pris connaissance du dossier radiologique de la recourante. L’examinateur a listé les plaintes ostéoarticulaires de la recourante, qui a rapporté plusieurs épisodes douloureux marquants, en 1998, 2005 puis dès 2017. Le Dr L.________ s’est en outre renseigné sur les habitudes de la recourante, sur sa vie quotidienne, ses loisirs et son contexte psychosocial. aa) En se fondant sur ses constats cliniques et sur les documents médicaux à sa disposition, le Dr L.________ a retenu les diagnostics, qui ne sont pas contestés par la recourante ou ses médecins traitants, de rachialgies diffuses avec discopathies dégénératives et peu de substrat organique, et de status après spondylodèse postérieure (L4 à S1) et antérieure (L5-S1). Les Drs C.________ et T.________ ont évoqué un diagnostic de probable stress post-traumatique avec troubles du sommeil, sans toutefois indiquer que ce dernier aurait un effet concret sur la capacité de travail de la recourante et sans y rattacher des limitations fonctionnelles. Des diagnostics sans incidence sur la capacité de travail ont également été mentionnés par les médecins traitants de la recourante, sans que cela ne soit pertinent en l’espèce (notamment du tabagisme et une dyslipidémie familiale). Quant à la suspicion de trouble somatoforme douloureux, tout trouble psychique a été nié par la recourante, ce que d’ailleurs le rapport du H.________ a confirmé (« […] la patiente ne présente pas de symptômes de la lignée anxieuse ou dépressive au premier plan », p. 5 du rapport du 19 mars 2021). Elle n’était en outre plus suivie par le Dr G.________ lors de la période déterminante. Ainsi, ce diagnostic a été écarté par le SMR, ce qui semble cohérent et n’est en l’occurrence pas litigieux. bb) Le Dr L.________ a expliqué dans son rapport pour quelles raisons il niait toute complication liée à la spondylodèse, en l’absence d’une dégénérescence significative du segment adjacent à cette dernière. Le Dr L.________ a en outre écarté les diagnostics d’hypermobilité articulaire (score de Beighton à 0/9 et absence de synovite), de canal vertébral étroit et de rétrécissement foraminal. Dans son appréciation du cas, le médecin a notamment relevé ce qui suit : « La corrélation entre les douleurs diffuses annoncées par l’assurée, l’examen clinique et les constatations radiologiques est faible. L’endroit où la discopathie dégénérative dorsale est le plus marqué, en D9-D10, correspond à l’endroit où l’assurée n’a pas de douleurs. Le comportement douloureux de l’assurée, avec de nombreuses autolimitations concernant les mouvements de la colonne vertébrale, associées à des grimaces et des gémissements, est inconstant. Lorsque l’assurée est distraite par l’entretien, sa mobilité cervicale s’améliore. L’assurée a de la peine à se lever du siège dans la salle d’attente, alors qu’elle n’est restée assise qu’un bref moment et se lève ensuite rapidement après l’entretien, qui a duré 1 heure. Elle se plaint de fortes douleurs et sursaute même à l’effleurement cutané de la région cervicale, des 2/3 supérieurs de la région dorsale et de la région lombaire, alors qu’elle supporte la position couchée sur le dos. Ce comportement douloureux avec des incohérences ne s’explique pas par les atteintes dégénératives objectivées par les bilans radiologiques. Il y a clairement des facteurs psychosociaux qui interviennent de manière prépondérante. Ces facteurs, bien que contestés par l’assurée, sont également suggérés par le Dr T.________ dans le RM [réd. : rapport médical] du 06.06.2018, lorsqu’il annonce des répercussions d’ordre psychologique existant en toile de fond. Un score de Waddel à 5/5, également positif lors de l’examen du Dr T.________, lorsqu’il annonce la présence de signes de non organicité (cf. RM du 06.06.2018), ne permet donc pas d’expliquer les douleurs par un raisonnement strictement biomécanique. Le Dr T.________ diagnostique un conflit vasculo-nerveux rétro-claviculaire d’ordre fonctionnel. Le terme fonctionnel est utilisé en médecine lorsqu’il n’y a pas de substrat organique identifiable. L’hypermobilité articulaire, mise en avant à plusieurs reprises par le Dr T.________, n’est pas confirmée lors de l’examen de ce jour, où l’on est face plutôt à une hypomobilité, avec un score de Beighton à 0/9. Dans le RM du 07.05.2019, le Dr X.________ diagnostique une tendinite du moyen fessier et du pyramidal. Là aussi, les douleurs sont trop diffuses, présentes autant à la RI [réd. : rotation interne] qu’à la RE [réd. : rotation externe] de la hanche. Il s’agit aussi de douleurs non spécifiques. Malgré l’importance des douleurs signalées par l’assurée, il persiste des ressources physiques. Elle effectue les tâches ménagères les plus légères. Elle cuisine. Elle effectue régulièrement une promenade de 30 minutes. Une fois par année, elle voyage en Grèce. Au vu des atteintes dégénératives mises en évidence sur les clichés de la colonne vertébrale, il y a lieu de retenir les LF [réd. : limitations fonctionnelles] annoncées par le Dr T.________ dans le RM du 23.07.2019, c’est-à-dire éviter les positions statiques longtemps maintenues, les mouvements répétitifs, les postures en porte-à-faux, mais on ne peut pas justifier une ITT [réd. : incapacité totale de travail] durable dans une activité adaptée sur le plan ostéoarticulaire. Dans sa dernière activité d’agente de sécurité, l’assurée déclare qu’elle devait rester longtemps debout, ce qui est confirmé par l’employeur (cf. rapport de K.________ daté du 19.09.2016 [recte : 2017]). Selon le rapport de l’employeur, l’IT a débuté le 17.06.2017. Cette IT est également annoncée par le Dr T.________: arrêt de travail depuis juin 2016 (cf. RM Dr T.________ du 06.06.2018). Sur le plan thérapeutique, la prise en charge doit correspondre à celle des syndromes douloureux chroniques. Dans le RM du 06.06.2018, le Dr T.________ mentionne la physiothérapie, avec des exercices de mobilisation, stabilisation musculaire, endurance. Selon les déclarations de l’assurée, ces traitements ne sont malheureusement pas effectués, la physiothérapie se limitant à des formes de massages doux, traitement inefficace dans ce contexte. Les opiacés sont également déconseillés dans les rachialgies chroniques (Palexia). » Le Dr L.________ a motivé et étayé les diagnostics qu’il a posés, ainsi que son appréciation médicale. Il a relevé en particulier de nombreuses autolimitations et incohérences dans le comportement de la recourante, corroborées par l’index de Waddel (score le plus haut possible). Ces constats ont mené le médecin à considérer que la symptomatologie douloureuse, s’inscrivant dans un contexte psychosocial particulier, n’imposait pas d’autres restrictions fonctionnelles que celles destinées à épargner le rachis. Il a également expliqué sur quels points et pourquoi il s’écartait de l’avis du Dr T.________, de manière convaincante. b) Quoi qu’en dise la recourante, les pièces médicales qu’elle a produites, antérieurement comme postérieurement à l’examen réalisé par le Dr L.________ ne font pas état d’éléments susceptibles de mettre en doute le bien-fondé des conclusions du SMR. aa) Avant l’examen clinique du SMR, les médecins traitants de la recourante ne s’étaient pas prononcés de manière claire sur sa capacité de travail dans une activité adaptée. En effet, les Drs C.________ et T.________ n’ont pas chiffré cette capacité dans leurs rapports (des 15 novembre 2017, 29 mai 2018, respectivement des 6 juin 2018 et 23 juillet 2019), pas plus que le Dr X.________ dans son rapport du 7 mai 2019. Le Dr T.________ a simplement expliqué dans son rapport du 6 juin 2018, qu’une telle appréciation était selon lui prématurée et qu’une appréciation psychologique était nécessaire. Il s’est avéré par la suite qu’il croyait, de manière manifestement erronée, que la recourante faisait l’objet d’un suivi psychiatrique par le Dr G.________. Quoi qu’il en soit, avant l’examen clinique rhumatologique du SMR, aucun des documents médicaux à disposition ne peuvent être qualifiées de contradictoires avec les conclusions retenues par le Dr L.________. bb) Postérieurement audit examen, la recourante a produit un rapport de la Dre C.________, qui évaluait sa capacité de travail dans une activité adaptée à 40 % au maximum. Or, elle retenait les mêmes limitations fonctionnelles que le Dr L.________, à l’exception du port occasionnel de charges au-delà de 5 kg, qui était à proscrire selon elle. Elle n’a pas critiqué l’appréciation médicale du Dr L.________ ni les diagnostics posés, ni avancé d’élément objectif dont il n’aurait pas ou mal été tenu compte. Son estimation de la capacité de travail de la recourante dans une activité adaptée, à 40 % au maximum, n’est pas suffisamment étayée pour remettre en question l’évaluation du Dr L.________. Comme l’a relevé le SMR dans son avis médical du 12 avril 2021, ce document reflète ainsi une appréciation différente d’un même état de fait, s’appuyant essentiellement sur les dires de l’assurée. Or, c 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Le rapport du Dr T.________ du 13 octobre 2020, établi à la suite de l’examen du SMR, ne formule pas d’argument médical concret à l’encontre de l’appréciation du Dr L.________. Le Dr T.________ a rappelé qu’il avait posé le diagnostic d’hypermobilité articulaire, sans avancer d’élément objectif à cet égard et alors que le Dr L.________ l’avait précisément écarté. Il a en sus relevé la « précarité fonctionnelle manifestement sous-estimée durant son expertise » sans étayer davantage ce constat. Le Dr T.________ s’est dit surpris de la position de l’intimé, s’agissant des propositions d’activités adaptées faites à la recourante, car le quotidien de cette dernière s’avérait déjà précaire, même sans expectative de rendement. Il n’a cependant pas apporté d’élément médical nouveau ou motivant sa position, qui semble fondée sur ses prévisions, son expérience et des probabilités. Au demeurant, le Dr T.________ ne s’est pas prononcé concrètement sur la capacité de travail de la recourante, mais il a renvoyé à l’appréciation du Dr B.________, que la recourante ne semble pas avoir consulté. Ainsi, il ressort du rapport du Dr T.________ qu’il a plutôt préjugé du risque d’échec de la réinsertion professionnelle de sa patiente. Or, il est tout à fait plausible qu’un assuré soit médicalement apte à exercer une activité professionnelle, sur le plan biomédical, mais qu’il n’y parvienne finalement pas, pour diverses raisons qui sortent de ce plan. L’appréciation du Dr T.________ ne permet ainsi pas de jeter le doute sur celle du SMR, d’un point de vue médical objectif. Cette dernière remarque s’applique également au rapport rédigé à l’issue du programme multimodal dont la recourante a bénéficié au H.________, que les médecins concluent en écrivant qu’ils ont l’impression qu’une tentative de réinsertion de la recourante serait condamnée à l’échec en raison de l’âge de cette dernière, du degré de sa kinésiophobie (peur anticipatoire de la douleur), de son alexythymie, et de la durée de son arrêt de travail. Cette conclusion tient en effet davantage de la prédiction des chances de succès de la réinsertion que de l’appréciation biomédicale de la santé de la recourante. Au demeurant, sur le plan médical objectif, ce rapport corrobore au contraire les conclusions du Dr L.________. En effet, l’analyse par questionnaires ( Fear-Avoidance Beliefs Questionnaire , et le sous-questionnaire orienté sur l’activité professionnelle) a montré une grande influence des peurs et attitudes évitantes liées à l’activité physique et au travail. Les médecins du H.________ relevaient également des indices élevés de kinésiophobie, d’anxiété et la prédominance d’un profil de réponses comportementales du type évitant. Ils expliquaient de manière convaincante que par peur de se faire davantage mal avec les mouvements, la recourante protégeait la région douloureuse en bougeant par monobloc, ce qui impliquait une contraction en continu de tout sa musculature para-spinale et même cervicale. L’intensité rapportée des douleurs de la recourante était difficilement explicable selon les médecins, qui avaient procédé à une IRM du rachis lombaire et une radiographie du rachis total, au début du mois de mars 2021. L’existence de facteurs contextuels influençait ainsi négativement les aptitudes fonctionnelles de la recourante. Par ailleurs, les médecins du H.________ notaient que le médicament Palexia sur le long terme était un facteur de chronicisation de la douleur, et qu’il fallait procéder à son sevrage (la Dre C.________ avait également relevé la probable dépendance aux opiacés de la recourante, dans un rapport du 31 janvier 2020). Ils proposaient en outre de faire une infiltration facettaire, traitement qui n’avait pas encore été essayé jusqu’alors. Cette analyse multimodale apporte donc des pistes de traitement pour la recourante, susceptibles d’améliorer son état de santé, soit, en outre, un renforcement musculaire, de l’acupuncture, de l’hypnose, des auto-exercices, et de la relaxation guidée, dans le but de lutter contre sa kinésiophobie marquée. Pour autant, le contenu de ce rapport n’amène aucun élément médical objectif qui aurait été ignoré par le Dr L.________ ou qui remette en cause son appréciation s’agissant de la capacité de travail de la recourante dans une activité adaptée et de ses limitations fonctionnelles. En revanche, les remarques détaillées des médecins du H.________ permettent de confirmer la nécessité de tenir compte d’une diminution de rendement de 10 %, comme retenue par le Dr L.________, afin de permettre à la recourante de se ménager des pauses pour détendre sa musculature, constamment contractée en raison de sa peur anticipatoire de la douleur. c) L’argument de la recourante selon lequel sa santé se dégraderait à mesure que le temps passe et que cela influencerait négativement sa capacité de de travail dans une mesure prévisible, n’est soutenu par aucun document médical ; en particulier la Dre C.________ ne s’est pas prononcée en ce sens dans son rapport du 6 juillet 2020. Quoi qu’il en soit, la Cour de céans apprécie la légalité de la décision attaquée d’après l’état de fait existant au moment où la décision litigieuse a été rendue (ATF 131 V 242 consid. 2.1 ; 121 V 362 consid. 1b ; TF 9C_719/2016 du 1 er mai 2017 consid. 2). Cet argument tombe donc à faux. d) Ainsi, aucun avis médical probant, antérieur ou postérieur à l’examen clinique du SMR, ne vient mettre en doute, même faiblement, les constatations et conclusions du Dr L.________, qui emportent conviction. Compte tenu de ce qui précède, le rapport d’examen du SMR remplit les réquisits jurisprudentiels précités et il peut lui être reconnu une valeur probante entière. Dès lors qu’il n’y a pas lieu de s’écarter des conclusions du SMR, il peut être retenu que la recourante présente une capacité de travail de 90 % dans une activité adaptée à ses limitations fonctionnelles, compte tenu d’une diminution de rendement de 10 %, correspondant aux pauses supplémentaires nécessaires à sa décontraction musculaire.</w:t>
      </w:r>
    </w:p>
    <w:p>
      <w:r>
        <w:rPr>
          <w:b/>
        </w:rPr>
        <w:t>E. 8</w:t>
      </w:r>
    </w:p>
    <w:p>
      <w:r>
        <w:t>Sur le plan économique, la recourante argue qu’il n’existe pas d’activité adaptée à ses limitations fonctionnelles, que sa capacité de travail n’a pas été traduite sur le marché du travail par un spécialiste en réinsertion, que les exemples de professions proposées par l’OAI ne seraient pas adaptés et que le calcul du degré d’invalidité ne mentionne pas la base statistique utilisée.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(consid. 8b supra ).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(TF 8C_403/2017 du 25 août 2017 consid. 4.3 in fine et les références ; TF 9C_378/2014 du 21 octobre 2014 consid. 4.3.3). c) En l’occurrence, la recourante ne formule pas de critique précise quant au calcul du degré d’invalidité, hormis le fait que le calcul de l’OAI n’expliquerait pas quelle base statistique était utilisée. La fiche « Calcul du salaire exigible » du spécialiste en réinsertion professionnelle de l’intimé, remplie le 23 mars 2020, détaille pourtant le calcul effectué (et mentionne l’identité du spécialiste qui a examiné le dossier de la recourante, nonobstant les allégations de cette dernière, dont on ne saisit d’ailleurs pas bien l’argument qu’elle souhaitait en tirer). Contrôlé d’office, le calcul du degré d’invalidité peut être globalement confirmé, malgré quelques imprécisions sans effet sur le droit à la rente. Le revenu sans invalidité de la recourante s’élève, compte tenu des informations fournies par son employeur et de l’adaptation des salaires nominaux jusqu’en 2018, moment de la naissance possible du droit à la rente (ATF 129 V 222 précité), à 57'236 fr. 76 ([4'746 x 12] + 0,5 %). Comme la recourante ne semble pas avoir repris une quelconque activité professionnelle, il convient de se référer aux salaires statistiques ESS pour fixer son revenu d’invalide, conformément aux principes rappelés ci-dessus. Le salaire de référence de la recourante est donc de 4'371 fr. par mois (valeur centrale dans l’économie privée, tableaux TA1_skill_level, tous secteurs confondus, niveau de compétence 1 pour les femmes, ESS 2018). Une fois adapté à la durée hebdomadaire moyenne usuelle dans les entreprises (41,7 heures), ce salaire de référence correspond à 54'681 fr. 21 par année. Compte tenu de la diminution de rendement de 10 % retenue et confirmée ci-avant, c’est un salaire annuel de 49'213 fr. 09 qu’il sied de retenir à cette étape du raisonnement. En ce qui concerne l’abattement, il faut souligner que les limitations fonctionnelles de la recourante ont déjà été prises en compte par le biais de la diminution de rendement de 10 % dans une activité adaptée à plein temps. La feuille de calcul du spécialiste en réinsertion mentionne encore un taux d’abattement de 10 %, sans préciser pour quel motif, et la décision attaquée retient que ce motif a trait aux limitations fonctionnelles de la recourante. Le taux d’abattement de 10 % ne prête pas le flanc à la critique in casu , compte tenu d’une appréciation globale de la situation et peut être confirmé. Le revenu d’invalide de la recourante correspond donc à 44'291 fr. 78, et la comparaison des revenus aboutit à un degré d’invalidité de 23 %. d) Il faut en outre constater qu’il existe de nombreuses activités compatibles avec les limitations fonctionnelles de la recourante, dans lesquelles elle pourra mettre en valeur sa capacité de travail résiduelle. L’OAI en mentionne d’ailleurs certaines dans sa feuille de calcul du 23 mars 2020, ce qui revient à la « traduction en métier » de la capacité de travail de la recourante. En effet, le recours à un centre d’observation professionnelle, que la recourante semble estimer nécessaire, ne s’impose pas de manière systématique (TF 9C_522/2007 du 17 juin 2008 consid. 3.3.1 in fine ). C’est le lieu de rappeler qu’au demeurant, selon la jurisprudence, les données médicales l’emportent en principe sur les observations faites à l’occasion d’un stage d’ observation professionnelle. En effet, ces observations sont susceptibles d’être influencées par des éléments subjectifs liés au comportement de la personne assurée (TF 9C_762/2018 du 11 janvier 2019 consid. 4.3.1, 9C_83 et 9C_323/2018 du 20 août 2018 consid. 4.2). Les exemples d’activités adaptées listés par le service de réadaptation de l’intimé sont les activités d’agente de contrôle de qualité dans une chaîne de production, d’ouvrière de conditionnement de matériel léger (mise sous pli, empaquetage), d’ouvrière de production dans l’industrie de précision (alimentation de machines préréglées, assemblage de composants électroniques/informatiques), d’employée de service en station-service (caisse, entretien, service). À noter que la Dre C.________ a estimé que ces activités étaient effectivement compatibles avec l’état de santé de la recourante, dans son rapport du 6 juillet 2020. Au regard du large éventail d’activités variées, physiques ou manuelles simples que recouvrent les secteurs de la production et des services (tableau TA1_skill_level ESS 2018 ; TF 9C_603/2015 consid. 8.1), un nombre suffisant d'entre elles correspondent à des travaux légers de telle sorte qu’une déduction supplémentaire sur le salaire statistique ne se justifie pas pour tenir compte des circonstances liées au handicap de la recourante. En effet, si les limitations fonctionnelles de la recourante sont certes importantes, elles représentent des mesures relativement classiques d'épargne en vue d'éviter des douleurs du rachis. Des tâches simples apparaissent concrètement exigibles à condition qu’elle puisse interrompre régulièrement son activité et changer de position, ce que la diminution de rendement de 10 % arrêtée d'un point de vue médico-théorique, prend en compte de manière appropriée en l’espèce. L’on peut ajouter que les différents métiers que la recourante a exercés entre 2004 et 2017 ne correspondaient pas à ses limitations fonctionnelles actuelles, pas plus que son activité pour K.________ SA. En effet, selon le questionnaire rempli par ce dernier employeur, ses tâches comprenaient notamment la position statique debout durant 3 à 5 heures par jour, et le port occasionnel de charges de plus de 25 kg. Les activités d’auxiliaire de ménage ou d’employée d’exploitation dans un EMS ne sont vraisemblablement pas moins physiques. L’argument de la recourante selon lequel les activités listées par l’intimé ne seraient pas plus adaptées que celles qu’elle avait exercées, dont celle en dernier lieu pour K.________ SA ne résiste ainsi pas à l’analyse. La position de la Dre C.________ quant à la capacité de la recourante de conduire un véhicule malgré sa médication permet également d’écarter les allégations de cette dernière selon lesquelles elle ne pourrait pas se rendre sur un lieu de travail (cf. rapport du 6 juillet 2020). e) Quant aux difficultés, alléguées par la recourante, d’effectuer ses tâches habituelles et ménagères, quand bien mêmes elles seraient avérées, telles que décrites par la Dre C.________ notamment (cf. rapport du 6 juillet 2020), elles ne seraient pas déterminantes en l’espèce. En effet, la recourante a indiqué à l’OAI par formulaire du 20 septembre 2017 que sans atteinte à sa santé, elle travaillerait à 100 %, de sorte que son statut d’active ne justifie pas l’application de la méthode de calcul mixte pour les assurés qui travaillent à temps partiel et consacrent l’autre partie de leur temps aux tâches ménagères (art. 28a al. 3 LAI). f) Les facteurs dont se prévaut la recourante ne restreignent ainsi pas ses perspectives salariales par rapport à celles ressortant des données statistiques retenues, de sorte que l’application d’un taux d’abattement supérieur à 10 %, en plus de la diminution de rendement de 10 % retenue, ne se justifie pas dans son cas. Il sied de constater, à l’instar de l’intimé, que le degré d’invalidité de la recourante, qui s’élève à 23 %, est insuffisant pour ouvrir le droit à une rente de l’assurance-invalidité (consid. 3b supra ).</w:t>
      </w:r>
    </w:p>
    <w:p>
      <w:r>
        <w:rPr>
          <w:b/>
        </w:rPr>
        <w:t>E. 9</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Le droit à une mesure de réadaptation déterminée suppose qu’elle soit appropriée au but de la réadaptation poursuivi par l’AI, tant objectivement en ce qui concerne la mesure que sur le plan subjectif en ce qui concerne la personne de l’assuré (TF 9C_609/2009 15 avril 2010 consid. 9.2 et la référence citée). En sus d’être nécessaire et adéquate, une mesure de réadaptation doit en outre respecter le principe de la proportionnalité. Elle ne peut être accordée que s’il existe un équilibre raisonnable entre les frais occasionnés et le résultat escompté (ATF 124 V 108 consid. 2a et 121 V 258 consid. 2c, avec les références ; TF 9C_290/2008 du 27 janvier 2009 consid. 2.1 ; cf. également Michel Valterio , Droit de l’assurance-vieillesse et survivants [AVS] et de l’assurance-invalidité [AI], Genève/Zurich/Bâle 2011, n° 1338 ss p. 369). b) En l’espèce, la recourante a requis en procédure judiciaire de pouvoir bénéficier d’une mesure d’aide au placement (art. 18 LAI). Dans son écriture du 13 avril 2021, l’intimé a reconnu son droit à une telle mesure et l’a informée qu’il lui appartenait de faire une demande écrite pour pouvoir en bénéficier. L’octroi de cette mesure n’est ainsi plus litigieux. Quant aux autres mesures de réadaptation, que la recourante semble demander dans son recours, sans grief particulier toutefois, force est de constater que l’appréciation de l’intimé ne viole pas le droit, et en particulier les principes rappelés ci-avant, lorsqu’il en ressort qu’en raison de l’âge de la recourante, de ses limitations fonctionnelles et du fait qu’elle ne dispose pas de formation qualifiante, d’autres mesures d’ordre professionnel ne sont pas envisageables pour réduire le préjudice économique. La décision attaquée peut donc être confirmée sur ce point également.</w:t>
      </w:r>
    </w:p>
    <w:p>
      <w:r>
        <w:rPr>
          <w:b/>
        </w:rPr>
        <w:t>E. 10</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b) En l’occurrence, le dossier est complet et permet à la Cour de céans de statuer, de sorte qu’il n’y a pas lieu de donner suite à la réquisition de la recourante tendant à la mise en œuvre de « mesures d’instructions complémentaires ».</w:t>
      </w:r>
    </w:p>
    <w:p>
      <w:r>
        <w:rPr>
          <w:b/>
        </w:rPr>
        <w:t>E. 11</w:t>
      </w:r>
    </w:p>
    <w:p>
      <w:r>
        <w:t>a) Au vu de ce qui précède, l’état de santé de la recourante − dont il ne s’agit au demeurant pas de minimiser le ressenti − et ses conséquences sur sa capacité de gain, ne lui ouvrent pas le droit à une rente d’invalidité ou à des mesures de réadaptation professionnelle supplémentaires à celle d’aide au placement. L’intimé était ainsi fondé à rendre sa décision de refus du 15 juin 2020. Il s’ensuit que le recours doit être rejeté. b) En dérogation à l'art. 61 let. a LPGA, la procédure de recours en matière de contestations portant sur l’octroi ou le refus de prestations de l’assurance-invalidité est soumise à des frais de justice (art. 69 al. 1bis LAI, dans sa teneur en vigueur jusqu'au 31 décembre 2020, en application de l'art. 82a LPGA). Il convient de les fixer à 400 fr. et de les mettre à la charge de la recourante, vu l’issue du litige. c) N’obtenant pas gain de cause, la recourante, bien qu’assistée d’un mandataire professionnel, ne saurait prétendre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