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905 vom 26. Oktober 2021</w:t>
      </w:r>
    </w:p>
    <w:p>
      <w:r>
        <w:t>VD Tribunal cantonal, 2021-10-26, FR</w:t>
      </w:r>
    </w:p>
    <w:p>
      <w:r>
        <w:rPr>
          <w:b/>
        </w:rPr>
        <w:t xml:space="preserve">Quelle: </w:t>
      </w:r>
      <w:r>
        <w:t>https://mcp.opencaselaw.ch/entscheid/vd_findinfo_Arr_t___2021___905</w:t>
      </w:r>
    </w:p>
    <w:p>
      <w:r>
        <w:t>FR: VD_FINDINFO Arrêt / 2021 / 905 du 26 octobre 2021</w:t>
      </w:r>
    </w:p>
    <w:p>
      <w:r>
        <w:t>IT: VD_FINDINFO Arrêt / 2021 / 905 del 26 ottobre 2021</w:t>
      </w:r>
    </w:p>
    <w:p>
      <w:pPr>
        <w:pStyle w:val="Heading2"/>
      </w:pPr>
      <w:r>
        <w:t>Regeste</w:t>
      </w:r>
    </w:p>
    <w:p>
      <w:r>
        <w:t>RELATIONS PERSONNELLES | 273 CC, 445 al. 3 CC</w:t>
      </w:r>
    </w:p>
    <w:p>
      <w:pPr>
        <w:pStyle w:val="Heading2"/>
      </w:pPr>
      <w:r>
        <w:t>Erwägungen</w:t>
      </w:r>
    </w:p>
    <w:p>
      <w:r>
        <w:rPr>
          <w:b/>
        </w:rPr>
        <w:t>E. 1.1</w:t>
      </w:r>
    </w:p>
    <w:p>
      <w:r>
        <w:t>Le recours est dirigé contre une décision du juge de paix fixant de manière provisoire le droit de visite du père sur sa fille.</w:t>
      </w:r>
    </w:p>
    <w:p>
      <w:r>
        <w:rPr>
          <w:b/>
        </w:rPr>
        <w:t>E. 1.2</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6 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 4 février 2016 consid. 5.1 ; Droese/Steck, Basler Kommentar, op. cit., n. 42 ad art.  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5C_1/2018 du 8 mars 2019 consid. 5.1 et les références citées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20 al. 1 LVPAE et 318 al. 1 let. c ch. 2 CPC).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1.3</w:t>
      </w:r>
    </w:p>
    <w:p>
      <w:r>
        <w:t>En l'espèce, motivé et interjeté en temps utile par le père de l'enfant concernée, le recours est recevable. Il en va de même des pièces produites pour autant qu’elles ne figurent pas déjà au dossier. L’autorité de protection a renoncé à se déterminer et l’intimée a spontanément déposé des déterminations.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w:t>
      </w:r>
    </w:p>
    <w:p>
      <w:r>
        <w:rPr>
          <w:b/>
        </w:rPr>
        <w:t>E. 2.2</w:t>
      </w:r>
    </w:p>
    <w:p>
      <w:r>
        <w:t>Selon l’art. 275 al. 1 CC, l’autorité de protection du domicile de l’enfant est compétente pour prendre les mesures nécessaires concernant les relations personnelles. Le prononcé de mesures provisionnelles au sens des art. 445 et 314 al. 1 CC relève de la seule compétence du président de l'autorité de protection, soit du juge de paix (art. 4 al. 1 et 5 let. j LVPAE).</w:t>
      </w:r>
    </w:p>
    <w:p>
      <w:r>
        <w:rPr>
          <w:b/>
        </w:rPr>
        <w:t>E. 2.3.1</w:t>
      </w:r>
    </w:p>
    <w:p>
      <w:r>
        <w:t>A teneur de l'art. 314a al. 1 CC, l'enfant est entendu personnellement et de manière appropriée par l'autorité de protection de l'enfant ou le tiers qui en a été chargé, à moins que son âge ou d'autres justes motifs ne s'y opposent (TF 5A_131/2021 du 10 septembre 2021).</w:t>
      </w:r>
    </w:p>
    <w:p>
      <w:r>
        <w:rPr>
          <w:b/>
        </w:rPr>
        <w:t>E. 2.4</w:t>
      </w:r>
    </w:p>
    <w:p>
      <w:r>
        <w:t>En l’espèce, B.R.________ et A.________ ont été entendus par l’autorité intimée le 18 mars 2021, de sorte que leur droit d’être entendu a été respecté. En l’état, bien qu’âgée, alors, de presque huit ans, A.R.________ n’a pas été entendue par le juge de paix. Elle a néanmoins été entendue par un expert auprès duquel elle a pu verbaliser sa souffrance concernant le conflit de ses parents. Au vu du fort conflit parental dans lequel elle est prise et la charge que pourrait représenter pour elle une audition supplémentaire, il peut être en l’état renoncé à entendre A.R.________. Par ailleurs, la cause n’en est qu’au stade de l’enquête et la fillette pourra encore être entendue par l’autorité de protection si elle l’estime nécessaire. Partant, il y a lieu de considérer que le droit d’être entendu d’A.R.________ a également été respecté et que l’ordonnance attaquée peut être examinée sur le fond.</w:t>
      </w:r>
    </w:p>
    <w:p>
      <w:r>
        <w:rPr>
          <w:b/>
        </w:rPr>
        <w:t>E. 3</w:t>
      </w:r>
    </w:p>
    <w:p>
      <w:r>
        <w:t>e éd., Lausanne 2002, nn. 3 et 4 ad art. 492 CPC-VD, p. 763, point de vue qui demeure valable sous l'empire du nouveau droit).</w:t>
      </w:r>
    </w:p>
    <w:p>
      <w:r>
        <w:rPr>
          <w:b/>
        </w:rPr>
        <w:t>E. 3.1</w:t>
      </w:r>
    </w:p>
    <w:p>
      <w:r>
        <w:t>Le recourant fait valoir qu’auparavant, il avait sa fille auprès de lui pendant la moitié des vacances scolaires et qu’il n’avait jamais rencontré de difficultés dans l’exercice de son droit de visite, hormis lors du passage de l’enfant, étant précisé que les deux parents avaient leur part de responsabilité dans cette problématique. Il reproche à l’autorité de protection d’avoir suspendu son droit de visite en juillet 2019 sur la base des déclarations de la mère et relève que les relations personnelles exercées par visioconférence se sont révélées problématiques en raison des interférences de la mère. Il fait encore valoir que les conclusions de l’expertise psychiatrique sont « radicales » et ont conduit à ce qu’un droit de visite médiatisé soit mis en place alors même qu’il n’existe aucune mise en danger lorsqu’A.R.________ est auprès de lui. D’ailleurs, ces modalités l’excluent de plus en plus de la vie de sa fille et il n’arrive pas à corriger l’image qu’elle a de lui durant les quelques heures qu’il passe avec elle, ce d’autant que l’intimée n’a pas présenté l’enfant à plusieurs reprises. Il reproche en outre à la recourante, depuis l’audience du 18 mars 2021, de ne pas avoir présenté A.R.________ lors d’une visite au Point Rencontre en prétextant qu’elle était sérieusement malade alors qu’elle n’avait que le reste des symptômes d’un rhume important. Il se plaint aussi que le Dr J.________, dans son courrier du 30 avril 2021, reprend à son compte les doléances de l’intimée alors que les faits ne se sont pas produits tels qu’il les rapporte. De plus, il soulève que les ex-compagnons d’A.________ « jouent des jeux troubles dans le dossier » et rapporte les propos de l’un deux, [...], afin de démontrer que l’intimée le diabolise auprès de sa fille et qu’elle souhaite s’installer en Israël. Enfin, il indique que l’intimée serait consommatrice de cocaïne.</w:t>
      </w:r>
    </w:p>
    <w:p>
      <w:r>
        <w:rPr>
          <w:b/>
        </w:rPr>
        <w:t>E. 3.2.1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 e éd., Genève/Zurich/Bâle 2019, nn. 963 ss, p. 615 ss). Le droit aux relations personnelles constitue ainsi non seulement un droit, mais également un devoir des parents, et également un droit de la personnalité de l'enfant ; il doit servir en premier lieu l'intérêt de celui-ci (TF 5A_334/2018 du 7 août 2018 consid. 3.1 ; TF 5A_184/2017 du 9 juin 2017 consid. 4.1 ; TF 5A_53/2017 du 23 mars 2017 consid. 5.1).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RMA 2012, p. 300).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 TF 5A_334/2018 du 7 août 2018 consid. 3.1 ; TF 5A_699/2017 du 24 octobre 2017 consid. 5.1 ; TF 5A_184/2017 du 9 juin 2017 consid. 4.1 et les références citées).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(TF 5A_334/2018 du 7 août 2018 consid. 3.1 ; TF 5A_699/2017 du 24 octobre 2017 consid. 5.1 ; TF 5A_184/2017 du 9 juin 2017 consid. 4.1 et les références citées ; ATF 122 III 404 consid. 3c). L'établissement d'un droit de visite surveillé nécessite des indices concrets de mise en danger du bien de l'enfant. Dès lors, il convient de faire preuve d'une certaine retenue lors du choix de cette mesure (TF 5A_334/2018 du 7 août 2018 consid. 3.1 ; TF 5A_699/2017 du 24 octobre 2017 consid. 5.1 ; TF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in FamPra.ch 2008 p. 172).</w:t>
      </w:r>
    </w:p>
    <w:p>
      <w:r>
        <w:rPr>
          <w:b/>
        </w:rPr>
        <w:t>E. 3.2.2</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op. cit., n. 3.1.1 ad art. 296 CPC et les références citées, p. 903).</w:t>
      </w:r>
    </w:p>
    <w:p>
      <w:r>
        <w:rPr>
          <w:b/>
        </w:rPr>
        <w:t>E. 3.3</w:t>
      </w:r>
    </w:p>
    <w:p>
      <w:r>
        <w:t>En l’espèce, il ressort des pièces au dossier qu’A.R.________ souffre du conflit parental et qu’elle montre désormais des signes de dépression légère en lien avec un effet d'épuisement en raison du comportement de ses parents. Depuis 2018, A.________ et B.R.________ n’ont eu de cesse de s’incriminer mutuellement par messages ou par avocats interposés et d'instrumentaliser la fillette dans le but d’obtenir des informations sur l’autre. Ils l'ont même épiée et scrutée ainsi que filmée lors des passages afin de pouvoir trouver des éléments permettant de nourrir leurs accusations mutuelles. Malgré les mesures mises en place par les autorités judiciaires et les services compétents depuis cinq ans, A.________ et B.R.________ continuent à se répandre en invectives l’un contre l’autre sans se soucier de la souffrance que ces agissements délétères engendrent chez leur fille. Le passage de l’enfant a donné lieu à des scènes de violence entre les parents lesquelles ont débouché sur des plaintes pénales. Même la mise en place du suivi thérapeutique dA.R.________ n’a été que prétexte pour alimenter davantage, si c’est possible, le conflit qu’ils entretiennent. Selon l'expert, dont l'avis est partagé par la DGEJ, il est prématuré d’élargir le droit de visite de B.R.________, notamment en raison de ses compétences parentales limitées. Celui-ci est envahi par les émotions qu'il entretient envers l'intimée et ne se rend pas compte de l'impact de ses actes sur le développement de sa fille. Encore selon l'expert, le droit de visite devrait impérativement se dérouler au Point Rencontre afin d'empêcher, autant que faire se peut, les disputes et les agressions entre les parents. Dans la mesure où seul l’intérêt de l’enfant est déterminant en matière de fixation du droit aux relations personnelles, il y a lieu de suivre, au stade de la vraisemblance, les recommandations du praticien et des services de protection de l’enfant. Le complément d’expertise requis par le recourant sera en outre mieux à même de renseigner les autorités judiciaires sur les compétences parentales d’A.________ et de B.R.________ eu égard aux changements intervenus depuis le dépôt du rapport d’expertise du 12 septembre 2019 et permettra donc de déterminer les modalités du droit de garde et de droit de visite qui pourront être mises en œuvre à la lumière des récents événements. On ne saurait retenir, comme le soutient le recourant, que l’expertise précitée a fortement été influencée par l’épisode de violence de juillet 2019. Le rapport qui a été rendu est en effet extrêmement complet, l’expert ayant non seulement procédé à de multiples entretiens, mais ayant également recueilli des informations de nombreux intervenants. Il a également procédé à une analyse circonstanciée des capacités parentales de parties avant d’affirmer qu’A.________ était, alors, en mesure d’offrir un encadrement et une prise en charge correspondant aux besoins d’A.R.________, ce que le père n’était, alors, pas en mesure de faire. En outre, le recourant ne démontre pas en quoi le droit de visite par le biais de Point Rencontre aurait dégradé sa relation avec A.R.________, qui manifestait depuis longtemps déjà son désaccord quant à passer une nuit chez son père. S’agissant des événements postérieurs au 18 mars 2021 mis en évidence par le recourant, notamment le fait qu’une rencontre entre le père et la fille n’ait pas eu lieu car l’enfant présentait des symptômes de rhume, ne justifie pas qu’un droit de visite plus étendu soit octroyé. Tout au plus, cela justifierait, comme l’a fait la DGEJ, qu’il soit à nouveau rappelé à la mère l’importance du respect du droit aux relations personnelles du père. De plus, peu importe que les difficultés rencontrées par le DrJ.________ dans la prise en charge d’A.R.________ soient dues à l’intimée, au recourant ou à un malentendu, elles ne justifient pas non plus qu’un droit de visite plus étendu soit accordé à B.R.________. Il en va de même des diverses accusations proférées contre l’intimée de ses éventuels problèmes d’addiction ou des suspicions de pédophilie à l’encontre de son compagnon G.________, qui devront être investigués dans le cadre du complément d’expertise pédopsychiatrique, mais qui n’influent en rien les modalités d’exercice des relations personnelles du recourant sur son fils. Les échanges de messages entre l’intimée et [...] ne sont également pas de nature à justifier l’élargissement d’un droit de visite. Il est d’ailleurs piquant de constater que le recourant affirme que les anciens compagnons de l’intimée jouent « des jeux troubles » dans le dossier de la cause et qu’il produise lui-même des messages émanant de l’un d’entre eux. Enfin, si le rapport d’évaluation psychologique produit par le recourant atteste certes de ses souffrances face à la limitation de son droit de visite, de sa plus grande stabilité affective et professionnelle, de sa volonté d’apaisement et de l’appréciation par sa psychologique du comportement de l’intimée, sur la base du ressenti du recourant, il ne permet pas de considérer que les doutes posés en 2019 sur ses capacités parentales sont levés. Partant, l’ordonnance de mesures provisionnelles querellée ne prête pas le flanc à la critique et peut entièrement être confirmée.</w:t>
      </w:r>
    </w:p>
    <w:p>
      <w:r>
        <w:rPr>
          <w:b/>
        </w:rPr>
        <w:t>E. 4.1</w:t>
      </w:r>
    </w:p>
    <w:p>
      <w:r>
        <w:t>Au vu de ce qui précède, le recours de B.R.________ doit être rejeté et l’ordonnance querellée confirmée.</w:t>
      </w:r>
    </w:p>
    <w:p>
      <w:r>
        <w:rPr>
          <w:b/>
        </w:rPr>
        <w:t>E. 4.2.1</w:t>
      </w:r>
    </w:p>
    <w:p>
      <w:r>
        <w:t>En vertu de l'art. 117 CPC, une personne a droit à l'assistance judiciaire si elle ne dispose pas des ressources suffisantes (let. a) et si sa cause ne paraît pas dépourvue de toute chance de succès (let. b). Selon la jurisprudence, un procès est dénué de chances de succès lorsque les perspectives de le gagner sont notablement plus faibles que les risques de le perdre ;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(ATF 142 III 138 consid. 5.1; ATF 139 III 475 consid. 2.2; ATF 138 III 217 consid. 2.2.4).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(TF 5A_583/2020 du 9 septembre 2020 consid. 3.1 et la référence). La perspective concrète du recourant d'obtenir entièrement gain de cause n'est pas déterminante ; pour que la condition soit remplie, il suffit qu'il existe une chance d'admission même partielle des conclusions (TF 5A_858/2012 du 4 février 2013 consid. 3.3.1.2 et la référence). S'agissant plus particulièrement de l'examen des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(TF 5D_171/2020 du 28 octobre 2020 consid. 3.1; TF 5A_118/2020 du 27 mai 2020 consid. 6.1.2 ; TF 5A_27/2020 du 11 mai 2020 consid. 4.2, sur le tout : TF 5a_131/2021 du 10 septembre 2021).</w:t>
      </w:r>
    </w:p>
    <w:p>
      <w:r>
        <w:rPr>
          <w:b/>
        </w:rPr>
        <w:t>E. 4.2.2</w:t>
      </w:r>
    </w:p>
    <w:p>
      <w:r>
        <w:t>Au vu du sort de la cause, le recours était d'emblée dénué de chances de succès, de sorte que la requête d'assistance judiciaire du recourant doit être rejetée (art. 117 let. b CPC). En effet, le recours s’avère manifestement infondé dès lors que l’intérêt de l’enfant, supérieur à celui du père, ne pouvait que conduire au rejet, notamment dans l’attente du complément d’expertise ordonné.</w:t>
      </w:r>
    </w:p>
    <w:p>
      <w:r>
        <w:rPr>
          <w:b/>
        </w:rPr>
        <w:t>E. 4.3</w:t>
      </w:r>
    </w:p>
    <w:p>
      <w:r>
        <w:t>L’intimée n’a pas été invitée à se déterminer au vu du caractère manifestement infondé du recours. Partant, il n’y a pas lieu de lui allouer des dépens pour les déterminations qu’elle a spontanément déposées.</w:t>
      </w:r>
    </w:p>
    <w:p>
      <w:r>
        <w:rPr>
          <w:b/>
        </w:rPr>
        <w:t>E. 4.4</w:t>
      </w:r>
    </w:p>
    <w:p>
      <w:r>
        <w:t>Les frais judiciaires de deuxième instance, arrêtés à 500 fr. (art. 74a al. 1 TFJC [Tarif du 28 septembre 2010 des frais judiciaires civils ; BLV 270.11.5]), sont mis à la charge du recourant, qui succombe (art. 106 al. 1 CPC applicable par renvoi de l’art. 450f CC). Par ces motifs, la Chambre des curatelles du Tribunal cantonal, statuant à huis clos, prononce : I. Le recours est rejeté. II. L’ordonnance est confirmée. III. La requête d’assistance judiciaire est rejetée. IV. Les frais judiciaires de deuxième instance, arrêtés à 500 fr. (cinq cents francs), sont mis à la charge du recourant B.R.________. V. L'arrêt est exécutoire. Le président :              La greffière : Du L'arrêt qui précède, dont la rédaction a été approuvée à huis clos, est notifié à : ‑ Me Germain Quach, avocat (pour B.R.________), ‑ Me Christophe Borel, avocat (pour A.________), ‑ DGEJ, à l’att. de Mme L.________, et communiqué à : ‑ Mme la Juge de paix du district du Jura-Nord vaudois,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